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ascii="ＭＳ 明朝" w:eastAsia="ＭＳ 明朝" w:hAnsi="ＭＳ 明朝"/>
          <w:sz w:val="20"/>
        </w:rPr>
      </w:pPr>
      <w:r>
        <w:rPr>
          <w:rFonts w:ascii="ＭＳ 明朝" w:eastAsia="ＭＳ 明朝" w:hAnsi="ＭＳ 明朝" w:hint="eastAsia"/>
        </w:rPr>
        <w:t xml:space="preserve">　小１７　北町西</w:t>
      </w:r>
      <w:r>
        <w:rPr>
          <w:rFonts w:ascii="ＭＳ 明朝" w:eastAsia="ＭＳ 明朝" w:hAnsi="ＭＳ 明朝"/>
        </w:rPr>
        <w:t>小学校</w:t>
      </w:r>
    </w:p>
    <w:p>
      <w:pPr>
        <w:jc w:val="center"/>
        <w:rPr>
          <w:rFonts w:ascii="ＭＳ ゴシック" w:eastAsia="ＭＳ ゴシック" w:hAnsi="ＭＳ ゴシック"/>
          <w:sz w:val="32"/>
        </w:rPr>
      </w:pPr>
      <w:r>
        <w:rPr>
          <w:rFonts w:ascii="ＭＳ ゴシック" w:eastAsia="ＭＳ ゴシック" w:hAnsi="ＭＳ ゴシック" w:hint="eastAsia"/>
          <w:sz w:val="32"/>
        </w:rPr>
        <w:t>令和６年度</w:t>
      </w:r>
      <w:r>
        <w:rPr>
          <w:rFonts w:ascii="ＭＳ ゴシック" w:eastAsia="ＭＳ ゴシック" w:hAnsi="ＭＳ ゴシック"/>
          <w:sz w:val="32"/>
        </w:rPr>
        <w:t xml:space="preserve">　授業改善推進プラン</w:t>
      </w:r>
      <w:r>
        <w:rPr>
          <w:rFonts w:ascii="ＭＳ ゴシック" w:eastAsia="ＭＳ ゴシック" w:hAnsi="ＭＳ ゴシック" w:hint="eastAsia"/>
          <w:sz w:val="32"/>
        </w:rPr>
        <w:t xml:space="preserve">　４年（課題分析と授業改善策）</w:t>
      </w:r>
    </w:p>
    <w:tbl>
      <w:tblPr>
        <w:tblStyle w:val="a3"/>
        <w:tblW w:w="10485" w:type="dxa"/>
        <w:tblLook w:val="04A0" w:firstRow="1" w:lastRow="0" w:firstColumn="1" w:lastColumn="0" w:noHBand="0" w:noVBand="1"/>
      </w:tblPr>
      <w:tblGrid>
        <w:gridCol w:w="426"/>
        <w:gridCol w:w="4105"/>
        <w:gridCol w:w="4536"/>
        <w:gridCol w:w="1418"/>
      </w:tblGrid>
      <w:tr>
        <w:trPr>
          <w:trHeight w:val="343"/>
        </w:trPr>
        <w:tc>
          <w:tcPr>
            <w:tcW w:w="426" w:type="dxa"/>
            <w:tcBorders>
              <w:top w:val="single" w:sz="12" w:space="0" w:color="auto"/>
              <w:left w:val="single" w:sz="12" w:space="0" w:color="auto"/>
              <w:bottom w:val="double" w:sz="4" w:space="0" w:color="auto"/>
              <w:right w:val="double" w:sz="4" w:space="0" w:color="auto"/>
            </w:tcBorders>
          </w:tcPr>
          <w:p>
            <w:pPr>
              <w:spacing w:line="0" w:lineRule="atLeast"/>
              <w:jc w:val="center"/>
              <w:rPr>
                <w:rFonts w:ascii="ＭＳ ゴシック" w:eastAsia="ＭＳ ゴシック" w:hAnsi="ＭＳ ゴシック"/>
              </w:rPr>
            </w:pPr>
          </w:p>
        </w:tc>
        <w:tc>
          <w:tcPr>
            <w:tcW w:w="4105" w:type="dxa"/>
            <w:tcBorders>
              <w:top w:val="single" w:sz="12" w:space="0" w:color="auto"/>
              <w:left w:val="double" w:sz="4" w:space="0" w:color="auto"/>
              <w:bottom w:val="double" w:sz="4" w:space="0" w:color="auto"/>
            </w:tcBorders>
            <w:vAlign w:val="center"/>
          </w:tcPr>
          <w:p>
            <w:pPr>
              <w:spacing w:line="0" w:lineRule="atLeast"/>
              <w:jc w:val="center"/>
              <w:rPr>
                <w:rFonts w:ascii="ＭＳ ゴシック" w:eastAsia="ＭＳ ゴシック" w:hAnsi="ＭＳ ゴシック"/>
              </w:rPr>
            </w:pPr>
            <w:r>
              <w:rPr>
                <w:rFonts w:ascii="ＭＳ ゴシック" w:eastAsia="ＭＳ ゴシック" w:hAnsi="ＭＳ ゴシック" w:hint="eastAsia"/>
              </w:rPr>
              <w:t>課題分析</w:t>
            </w:r>
          </w:p>
        </w:tc>
        <w:tc>
          <w:tcPr>
            <w:tcW w:w="4536" w:type="dxa"/>
            <w:tcBorders>
              <w:top w:val="single" w:sz="12" w:space="0" w:color="auto"/>
              <w:bottom w:val="double" w:sz="4" w:space="0" w:color="auto"/>
            </w:tcBorders>
            <w:vAlign w:val="center"/>
          </w:tcPr>
          <w:p>
            <w:pPr>
              <w:spacing w:line="0" w:lineRule="atLeast"/>
              <w:jc w:val="center"/>
              <w:rPr>
                <w:rFonts w:ascii="ＭＳ ゴシック" w:eastAsia="ＭＳ ゴシック" w:hAnsi="ＭＳ ゴシック"/>
              </w:rPr>
            </w:pPr>
            <w:r>
              <w:rPr>
                <w:rFonts w:ascii="ＭＳ ゴシック" w:eastAsia="ＭＳ ゴシック" w:hAnsi="ＭＳ ゴシック" w:hint="eastAsia"/>
              </w:rPr>
              <w:t>授業改善策</w:t>
            </w:r>
          </w:p>
        </w:tc>
        <w:tc>
          <w:tcPr>
            <w:tcW w:w="1418" w:type="dxa"/>
            <w:tcBorders>
              <w:top w:val="single" w:sz="12" w:space="0" w:color="auto"/>
              <w:bottom w:val="double" w:sz="4" w:space="0" w:color="auto"/>
              <w:right w:val="single" w:sz="12" w:space="0" w:color="auto"/>
            </w:tcBorders>
            <w:vAlign w:val="center"/>
          </w:tcPr>
          <w:p>
            <w:pPr>
              <w:spacing w:line="0" w:lineRule="atLeast"/>
              <w:jc w:val="center"/>
              <w:rPr>
                <w:rFonts w:ascii="ＭＳ ゴシック" w:eastAsia="ＭＳ ゴシック" w:hAnsi="ＭＳ ゴシック"/>
              </w:rPr>
            </w:pPr>
            <w:r>
              <w:rPr>
                <w:rFonts w:ascii="ＭＳ ゴシック" w:eastAsia="ＭＳ ゴシック" w:hAnsi="ＭＳ ゴシック" w:hint="eastAsia"/>
              </w:rPr>
              <w:t>改善状況</w:t>
            </w:r>
          </w:p>
        </w:tc>
      </w:tr>
      <w:tr>
        <w:trPr>
          <w:trHeight w:val="1417"/>
        </w:trPr>
        <w:tc>
          <w:tcPr>
            <w:tcW w:w="426" w:type="dxa"/>
            <w:tcBorders>
              <w:top w:val="double" w:sz="4" w:space="0" w:color="auto"/>
              <w:left w:val="single" w:sz="12" w:space="0" w:color="auto"/>
              <w:right w:val="double" w:sz="4" w:space="0" w:color="auto"/>
            </w:tcBorders>
            <w:vAlign w:val="center"/>
          </w:tcPr>
          <w:p>
            <w:pPr>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国語</w:t>
            </w:r>
          </w:p>
        </w:tc>
        <w:tc>
          <w:tcPr>
            <w:tcW w:w="4105" w:type="dxa"/>
            <w:tcBorders>
              <w:top w:val="double" w:sz="4" w:space="0" w:color="auto"/>
              <w:left w:val="double" w:sz="4" w:space="0" w:color="auto"/>
            </w:tcBorders>
          </w:tcPr>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color w:val="000000" w:themeColor="text1"/>
              </w:rPr>
              <w:t>基本的な漢字の</w:t>
            </w:r>
            <w:r>
              <w:rPr>
                <w:rFonts w:ascii="ＭＳ 明朝" w:eastAsia="ＭＳ 明朝" w:hAnsi="ＭＳ 明朝" w:hint="eastAsia"/>
                <w:color w:val="000000" w:themeColor="text1"/>
              </w:rPr>
              <w:t>読み書き</w:t>
            </w:r>
            <w:r>
              <w:rPr>
                <w:rFonts w:ascii="ＭＳ 明朝" w:eastAsia="ＭＳ 明朝" w:hAnsi="ＭＳ 明朝"/>
                <w:color w:val="000000" w:themeColor="text1"/>
              </w:rPr>
              <w:t>の習熟</w:t>
            </w:r>
            <w:r>
              <w:rPr>
                <w:rFonts w:ascii="ＭＳ 明朝" w:eastAsia="ＭＳ 明朝" w:hAnsi="ＭＳ 明朝" w:hint="eastAsia"/>
                <w:color w:val="000000" w:themeColor="text1"/>
              </w:rPr>
              <w:t>における</w:t>
            </w:r>
            <w:r>
              <w:rPr>
                <w:rFonts w:ascii="ＭＳ 明朝" w:eastAsia="ＭＳ 明朝" w:hAnsi="ＭＳ 明朝"/>
                <w:color w:val="000000" w:themeColor="text1"/>
              </w:rPr>
              <w:t>差が</w:t>
            </w:r>
            <w:r>
              <w:rPr>
                <w:rFonts w:ascii="ＭＳ 明朝" w:eastAsia="ＭＳ 明朝" w:hAnsi="ＭＳ 明朝" w:hint="eastAsia"/>
                <w:color w:val="000000" w:themeColor="text1"/>
              </w:rPr>
              <w:t>大きいため、改善策</w:t>
            </w:r>
            <w:r>
              <w:rPr>
                <w:rFonts w:ascii="ＭＳ 明朝" w:eastAsia="ＭＳ 明朝" w:hAnsi="ＭＳ 明朝"/>
                <w:color w:val="000000" w:themeColor="text1"/>
              </w:rPr>
              <w:t>が必要である。</w:t>
            </w:r>
          </w:p>
          <w:p>
            <w:pPr>
              <w:ind w:left="210" w:hangingChars="100" w:hanging="210"/>
              <w:rPr>
                <w:rFonts w:ascii="ＭＳ 明朝" w:eastAsia="ＭＳ 明朝" w:hAnsi="ＭＳ 明朝"/>
                <w:color w:val="000000" w:themeColor="text1"/>
              </w:rPr>
            </w:pPr>
          </w:p>
          <w:p>
            <w:pPr>
              <w:ind w:left="210" w:hangingChars="100" w:hanging="210"/>
              <w:rPr>
                <w:rFonts w:ascii="ＭＳ 明朝" w:eastAsia="ＭＳ 明朝" w:hAnsi="ＭＳ 明朝"/>
                <w:color w:val="000000" w:themeColor="text1"/>
              </w:rPr>
            </w:pPr>
          </w:p>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・表現力が乏しいことにより、自分の思いや考えを文章にして分かりやすく伝えることができない児童がいるため、改善策が必要である。</w:t>
            </w:r>
          </w:p>
        </w:tc>
        <w:tc>
          <w:tcPr>
            <w:tcW w:w="4536" w:type="dxa"/>
            <w:tcBorders>
              <w:top w:val="double" w:sz="4" w:space="0" w:color="auto"/>
            </w:tcBorders>
          </w:tcPr>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・朝学習や</w:t>
            </w:r>
            <w:r>
              <w:rPr>
                <w:rFonts w:ascii="ＭＳ 明朝" w:eastAsia="ＭＳ 明朝" w:hAnsi="ＭＳ 明朝"/>
                <w:color w:val="000000" w:themeColor="text1"/>
              </w:rPr>
              <w:t>国語の時間に</w:t>
            </w:r>
            <w:r>
              <w:rPr>
                <w:rFonts w:ascii="ＭＳ 明朝" w:eastAsia="ＭＳ 明朝" w:hAnsi="ＭＳ 明朝" w:hint="eastAsia"/>
                <w:color w:val="000000" w:themeColor="text1"/>
              </w:rPr>
              <w:t>、</w:t>
            </w:r>
            <w:r>
              <w:rPr>
                <w:rFonts w:ascii="ＭＳ 明朝" w:eastAsia="ＭＳ 明朝" w:hAnsi="ＭＳ 明朝"/>
                <w:color w:val="000000" w:themeColor="text1"/>
              </w:rPr>
              <w:t>漢字</w:t>
            </w:r>
            <w:r>
              <w:rPr>
                <w:rFonts w:ascii="ＭＳ 明朝" w:eastAsia="ＭＳ 明朝" w:hAnsi="ＭＳ 明朝" w:hint="eastAsia"/>
                <w:color w:val="000000" w:themeColor="text1"/>
              </w:rPr>
              <w:t>ミニテストやフラッシュカード</w:t>
            </w:r>
            <w:r>
              <w:rPr>
                <w:rFonts w:ascii="ＭＳ 明朝" w:eastAsia="ＭＳ 明朝" w:hAnsi="ＭＳ 明朝"/>
                <w:color w:val="000000" w:themeColor="text1"/>
              </w:rPr>
              <w:t>等を利用したゲームの時間をとり、</w:t>
            </w:r>
            <w:r>
              <w:rPr>
                <w:rFonts w:ascii="ＭＳ 明朝" w:eastAsia="ＭＳ 明朝" w:hAnsi="ＭＳ 明朝" w:hint="eastAsia"/>
                <w:color w:val="000000" w:themeColor="text1"/>
              </w:rPr>
              <w:t>反復練習</w:t>
            </w:r>
            <w:r>
              <w:rPr>
                <w:rFonts w:ascii="ＭＳ 明朝" w:eastAsia="ＭＳ 明朝" w:hAnsi="ＭＳ 明朝"/>
                <w:color w:val="000000" w:themeColor="text1"/>
              </w:rPr>
              <w:t>や漢字に触れる機会を</w:t>
            </w:r>
            <w:r>
              <w:rPr>
                <w:rFonts w:ascii="ＭＳ 明朝" w:eastAsia="ＭＳ 明朝" w:hAnsi="ＭＳ 明朝" w:hint="eastAsia"/>
                <w:color w:val="000000" w:themeColor="text1"/>
              </w:rPr>
              <w:t>確保する</w:t>
            </w:r>
            <w:r>
              <w:rPr>
                <w:rFonts w:ascii="ＭＳ 明朝" w:eastAsia="ＭＳ 明朝" w:hAnsi="ＭＳ 明朝"/>
                <w:color w:val="000000" w:themeColor="text1"/>
              </w:rPr>
              <w:t>。</w:t>
            </w:r>
          </w:p>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・朝学習や国語の時間に短作文を書かせることで、書くことに慣れさせる。また、書いた文章を共有させることで表現の幅を広げさせる。</w:t>
            </w:r>
            <w:bookmarkStart w:id="0" w:name="_GoBack"/>
            <w:bookmarkEnd w:id="0"/>
          </w:p>
        </w:tc>
        <w:tc>
          <w:tcPr>
            <w:tcW w:w="1418" w:type="dxa"/>
            <w:tcBorders>
              <w:top w:val="double" w:sz="4" w:space="0" w:color="auto"/>
              <w:right w:val="single" w:sz="12" w:space="0" w:color="auto"/>
            </w:tcBorders>
          </w:tcPr>
          <w:p>
            <w:pPr>
              <w:rPr>
                <w:rFonts w:ascii="ＭＳ 明朝" w:eastAsia="ＭＳ 明朝" w:hAnsi="ＭＳ 明朝"/>
              </w:rPr>
            </w:pPr>
          </w:p>
        </w:tc>
      </w:tr>
      <w:tr>
        <w:trPr>
          <w:trHeight w:val="1417"/>
        </w:trPr>
        <w:tc>
          <w:tcPr>
            <w:tcW w:w="426" w:type="dxa"/>
            <w:tcBorders>
              <w:left w:val="single" w:sz="12" w:space="0" w:color="auto"/>
              <w:right w:val="double" w:sz="4" w:space="0" w:color="auto"/>
            </w:tcBorders>
            <w:vAlign w:val="center"/>
          </w:tcPr>
          <w:p>
            <w:pPr>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算数</w:t>
            </w:r>
          </w:p>
        </w:tc>
        <w:tc>
          <w:tcPr>
            <w:tcW w:w="4105" w:type="dxa"/>
            <w:tcBorders>
              <w:left w:val="double" w:sz="4" w:space="0" w:color="auto"/>
            </w:tcBorders>
          </w:tcPr>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・四則計算における計算技能が</w:t>
            </w:r>
            <w:r>
              <w:rPr>
                <w:rFonts w:ascii="ＭＳ 明朝" w:eastAsia="ＭＳ 明朝" w:hAnsi="ＭＳ 明朝"/>
                <w:color w:val="000000" w:themeColor="text1"/>
              </w:rPr>
              <w:t>定着していない児童が一定</w:t>
            </w:r>
            <w:r>
              <w:rPr>
                <w:rFonts w:ascii="ＭＳ 明朝" w:eastAsia="ＭＳ 明朝" w:hAnsi="ＭＳ 明朝" w:hint="eastAsia"/>
                <w:color w:val="000000" w:themeColor="text1"/>
              </w:rPr>
              <w:t>数</w:t>
            </w:r>
            <w:r>
              <w:rPr>
                <w:rFonts w:ascii="ＭＳ 明朝" w:eastAsia="ＭＳ 明朝" w:hAnsi="ＭＳ 明朝"/>
                <w:color w:val="000000" w:themeColor="text1"/>
              </w:rPr>
              <w:t>いる。桁数が</w:t>
            </w:r>
            <w:r>
              <w:rPr>
                <w:rFonts w:ascii="ＭＳ 明朝" w:eastAsia="ＭＳ 明朝" w:hAnsi="ＭＳ 明朝" w:hint="eastAsia"/>
                <w:color w:val="000000" w:themeColor="text1"/>
              </w:rPr>
              <w:t>増えることで</w:t>
            </w:r>
            <w:r>
              <w:rPr>
                <w:rFonts w:ascii="ＭＳ 明朝" w:eastAsia="ＭＳ 明朝" w:hAnsi="ＭＳ 明朝"/>
                <w:color w:val="000000" w:themeColor="text1"/>
              </w:rPr>
              <w:t>更に誤答が増え</w:t>
            </w:r>
            <w:r>
              <w:rPr>
                <w:rFonts w:ascii="ＭＳ 明朝" w:eastAsia="ＭＳ 明朝" w:hAnsi="ＭＳ 明朝" w:hint="eastAsia"/>
                <w:color w:val="000000" w:themeColor="text1"/>
              </w:rPr>
              <w:t>ていく</w:t>
            </w:r>
            <w:r>
              <w:rPr>
                <w:rFonts w:ascii="ＭＳ 明朝" w:eastAsia="ＭＳ 明朝" w:hAnsi="ＭＳ 明朝"/>
                <w:color w:val="000000" w:themeColor="text1"/>
              </w:rPr>
              <w:t>実態が</w:t>
            </w:r>
            <w:r>
              <w:rPr>
                <w:rFonts w:ascii="ＭＳ 明朝" w:eastAsia="ＭＳ 明朝" w:hAnsi="ＭＳ 明朝" w:hint="eastAsia"/>
                <w:color w:val="000000" w:themeColor="text1"/>
              </w:rPr>
              <w:t>ある。大幅な改善</w:t>
            </w:r>
            <w:r>
              <w:rPr>
                <w:rFonts w:ascii="ＭＳ 明朝" w:eastAsia="ＭＳ 明朝" w:hAnsi="ＭＳ 明朝"/>
                <w:color w:val="000000" w:themeColor="text1"/>
              </w:rPr>
              <w:t>策が必要である。</w:t>
            </w:r>
          </w:p>
          <w:p>
            <w:pPr>
              <w:ind w:left="210" w:hangingChars="100" w:hanging="210"/>
              <w:rPr>
                <w:rFonts w:ascii="ＭＳ 明朝" w:eastAsia="ＭＳ 明朝" w:hAnsi="ＭＳ 明朝"/>
                <w:color w:val="000000" w:themeColor="text1"/>
              </w:rPr>
            </w:pPr>
          </w:p>
        </w:tc>
        <w:tc>
          <w:tcPr>
            <w:tcW w:w="4536" w:type="dxa"/>
          </w:tcPr>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・授業クラスの習熟度に応じて、既習事項の復習時間を十分確保し、つまずきを未然に防ぐ。問題の答えだけでなく、解法について教え合う時間や伝え合う時間を確保することで、理解力を高める。</w:t>
            </w:r>
          </w:p>
        </w:tc>
        <w:tc>
          <w:tcPr>
            <w:tcW w:w="1418" w:type="dxa"/>
            <w:tcBorders>
              <w:right w:val="single" w:sz="12" w:space="0" w:color="auto"/>
            </w:tcBorders>
          </w:tcPr>
          <w:p>
            <w:pPr>
              <w:rPr>
                <w:rFonts w:ascii="ＭＳ 明朝" w:eastAsia="ＭＳ 明朝" w:hAnsi="ＭＳ 明朝"/>
              </w:rPr>
            </w:pPr>
          </w:p>
        </w:tc>
      </w:tr>
      <w:tr>
        <w:trPr>
          <w:trHeight w:val="1268"/>
        </w:trPr>
        <w:tc>
          <w:tcPr>
            <w:tcW w:w="426" w:type="dxa"/>
            <w:tcBorders>
              <w:left w:val="single" w:sz="12" w:space="0" w:color="auto"/>
              <w:bottom w:val="single" w:sz="12" w:space="0" w:color="auto"/>
              <w:right w:val="double" w:sz="4" w:space="0" w:color="auto"/>
            </w:tcBorders>
            <w:vAlign w:val="center"/>
          </w:tcPr>
          <w:p>
            <w:pPr>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社会</w:t>
            </w:r>
          </w:p>
        </w:tc>
        <w:tc>
          <w:tcPr>
            <w:tcW w:w="4105" w:type="dxa"/>
            <w:tcBorders>
              <w:left w:val="double" w:sz="4" w:space="0" w:color="auto"/>
              <w:bottom w:val="single" w:sz="12" w:space="0" w:color="auto"/>
            </w:tcBorders>
          </w:tcPr>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・情報整理のために適切な</w:t>
            </w:r>
            <w:r>
              <w:rPr>
                <w:rFonts w:ascii="ＭＳ 明朝" w:eastAsia="ＭＳ 明朝" w:hAnsi="ＭＳ 明朝"/>
                <w:color w:val="000000" w:themeColor="text1"/>
              </w:rPr>
              <w:t>資料を選択し、資料から</w:t>
            </w:r>
            <w:r>
              <w:rPr>
                <w:rFonts w:ascii="ＭＳ 明朝" w:eastAsia="ＭＳ 明朝" w:hAnsi="ＭＳ 明朝" w:hint="eastAsia"/>
                <w:color w:val="000000" w:themeColor="text1"/>
              </w:rPr>
              <w:t>数値を</w:t>
            </w:r>
            <w:r>
              <w:rPr>
                <w:rFonts w:ascii="ＭＳ 明朝" w:eastAsia="ＭＳ 明朝" w:hAnsi="ＭＳ 明朝"/>
                <w:color w:val="000000" w:themeColor="text1"/>
              </w:rPr>
              <w:t>正しく読み取</w:t>
            </w:r>
            <w:r>
              <w:rPr>
                <w:rFonts w:ascii="ＭＳ 明朝" w:eastAsia="ＭＳ 明朝" w:hAnsi="ＭＳ 明朝" w:hint="eastAsia"/>
                <w:color w:val="000000" w:themeColor="text1"/>
              </w:rPr>
              <w:t>ったり、変化の</w:t>
            </w:r>
            <w:r>
              <w:rPr>
                <w:rFonts w:ascii="ＭＳ 明朝" w:eastAsia="ＭＳ 明朝" w:hAnsi="ＭＳ 明朝"/>
                <w:color w:val="000000" w:themeColor="text1"/>
              </w:rPr>
              <w:t>様子を文章</w:t>
            </w:r>
            <w:r>
              <w:rPr>
                <w:rFonts w:ascii="ＭＳ 明朝" w:eastAsia="ＭＳ 明朝" w:hAnsi="ＭＳ 明朝" w:hint="eastAsia"/>
                <w:color w:val="000000" w:themeColor="text1"/>
              </w:rPr>
              <w:t>で</w:t>
            </w:r>
            <w:r>
              <w:rPr>
                <w:rFonts w:ascii="ＭＳ 明朝" w:eastAsia="ＭＳ 明朝" w:hAnsi="ＭＳ 明朝"/>
                <w:color w:val="000000" w:themeColor="text1"/>
              </w:rPr>
              <w:t>表したりすること</w:t>
            </w:r>
            <w:r>
              <w:rPr>
                <w:rFonts w:ascii="ＭＳ 明朝" w:eastAsia="ＭＳ 明朝" w:hAnsi="ＭＳ 明朝" w:hint="eastAsia"/>
                <w:color w:val="000000" w:themeColor="text1"/>
              </w:rPr>
              <w:t>が</w:t>
            </w:r>
            <w:r>
              <w:rPr>
                <w:rFonts w:ascii="ＭＳ 明朝" w:eastAsia="ＭＳ 明朝" w:hAnsi="ＭＳ 明朝"/>
                <w:color w:val="000000" w:themeColor="text1"/>
              </w:rPr>
              <w:t>苦手な児童が</w:t>
            </w:r>
            <w:r>
              <w:rPr>
                <w:rFonts w:ascii="ＭＳ 明朝" w:eastAsia="ＭＳ 明朝" w:hAnsi="ＭＳ 明朝" w:hint="eastAsia"/>
                <w:color w:val="000000" w:themeColor="text1"/>
              </w:rPr>
              <w:t>いるため</w:t>
            </w:r>
            <w:r>
              <w:rPr>
                <w:rFonts w:ascii="ＭＳ 明朝" w:eastAsia="ＭＳ 明朝" w:hAnsi="ＭＳ 明朝"/>
                <w:color w:val="000000" w:themeColor="text1"/>
              </w:rPr>
              <w:t>、改善策が必要である。</w:t>
            </w:r>
          </w:p>
        </w:tc>
        <w:tc>
          <w:tcPr>
            <w:tcW w:w="4536" w:type="dxa"/>
            <w:tcBorders>
              <w:bottom w:val="single" w:sz="12" w:space="0" w:color="auto"/>
            </w:tcBorders>
          </w:tcPr>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・写真</w:t>
            </w:r>
            <w:r>
              <w:rPr>
                <w:rFonts w:ascii="ＭＳ 明朝" w:eastAsia="ＭＳ 明朝" w:hAnsi="ＭＳ 明朝"/>
                <w:color w:val="000000" w:themeColor="text1"/>
              </w:rPr>
              <w:t>やグラフ</w:t>
            </w:r>
            <w:r>
              <w:rPr>
                <w:rFonts w:ascii="ＭＳ 明朝" w:eastAsia="ＭＳ 明朝" w:hAnsi="ＭＳ 明朝" w:hint="eastAsia"/>
                <w:color w:val="000000" w:themeColor="text1"/>
              </w:rPr>
              <w:t>等の</w:t>
            </w:r>
            <w:r>
              <w:rPr>
                <w:rFonts w:ascii="ＭＳ 明朝" w:eastAsia="ＭＳ 明朝" w:hAnsi="ＭＳ 明朝"/>
                <w:color w:val="000000" w:themeColor="text1"/>
              </w:rPr>
              <w:t>資料を多面的に</w:t>
            </w:r>
            <w:r>
              <w:rPr>
                <w:rFonts w:ascii="ＭＳ 明朝" w:eastAsia="ＭＳ 明朝" w:hAnsi="ＭＳ 明朝" w:hint="eastAsia"/>
                <w:color w:val="000000" w:themeColor="text1"/>
              </w:rPr>
              <w:t>捉え</w:t>
            </w:r>
            <w:r>
              <w:rPr>
                <w:rFonts w:ascii="ＭＳ 明朝" w:eastAsia="ＭＳ 明朝" w:hAnsi="ＭＳ 明朝"/>
                <w:color w:val="000000" w:themeColor="text1"/>
              </w:rPr>
              <w:t>、考えを</w:t>
            </w:r>
            <w:r>
              <w:rPr>
                <w:rFonts w:ascii="ＭＳ 明朝" w:eastAsia="ＭＳ 明朝" w:hAnsi="ＭＳ 明朝" w:hint="eastAsia"/>
                <w:color w:val="000000" w:themeColor="text1"/>
              </w:rPr>
              <w:t>伝え合ったり</w:t>
            </w:r>
            <w:r>
              <w:rPr>
                <w:rFonts w:ascii="ＭＳ 明朝" w:eastAsia="ＭＳ 明朝" w:hAnsi="ＭＳ 明朝"/>
                <w:color w:val="000000" w:themeColor="text1"/>
              </w:rPr>
              <w:t>まとめたり</w:t>
            </w:r>
            <w:r>
              <w:rPr>
                <w:rFonts w:ascii="ＭＳ 明朝" w:eastAsia="ＭＳ 明朝" w:hAnsi="ＭＳ 明朝" w:hint="eastAsia"/>
                <w:color w:val="000000" w:themeColor="text1"/>
              </w:rPr>
              <w:t>する活動では</w:t>
            </w:r>
            <w:r>
              <w:rPr>
                <w:rFonts w:ascii="ＭＳ 明朝" w:eastAsia="ＭＳ 明朝" w:hAnsi="ＭＳ 明朝"/>
                <w:color w:val="000000" w:themeColor="text1"/>
              </w:rPr>
              <w:t>、</w:t>
            </w:r>
            <w:r>
              <w:rPr>
                <w:rFonts w:ascii="ＭＳ 明朝" w:eastAsia="ＭＳ 明朝" w:hAnsi="ＭＳ 明朝" w:hint="eastAsia"/>
                <w:color w:val="000000" w:themeColor="text1"/>
              </w:rPr>
              <w:t>根拠を明確にして書かせる</w:t>
            </w:r>
            <w:r>
              <w:rPr>
                <w:rFonts w:ascii="ＭＳ 明朝" w:eastAsia="ＭＳ 明朝" w:hAnsi="ＭＳ 明朝"/>
                <w:color w:val="000000" w:themeColor="text1"/>
              </w:rPr>
              <w:t>ことで資料活用能力を高める</w:t>
            </w:r>
            <w:r>
              <w:rPr>
                <w:rFonts w:ascii="ＭＳ 明朝" w:eastAsia="ＭＳ 明朝" w:hAnsi="ＭＳ 明朝" w:hint="eastAsia"/>
                <w:color w:val="000000" w:themeColor="text1"/>
              </w:rPr>
              <w:t>。</w:t>
            </w:r>
          </w:p>
          <w:p>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・朝学習の短作文指導で</w:t>
            </w:r>
            <w:r>
              <w:rPr>
                <w:rFonts w:ascii="ＭＳ 明朝" w:eastAsia="ＭＳ 明朝" w:hAnsi="ＭＳ 明朝"/>
                <w:color w:val="000000" w:themeColor="text1"/>
              </w:rPr>
              <w:t>、</w:t>
            </w:r>
            <w:r>
              <w:rPr>
                <w:rFonts w:ascii="ＭＳ 明朝" w:eastAsia="ＭＳ 明朝" w:hAnsi="ＭＳ 明朝" w:hint="eastAsia"/>
                <w:color w:val="000000" w:themeColor="text1"/>
              </w:rPr>
              <w:t>資料から</w:t>
            </w:r>
            <w:r>
              <w:rPr>
                <w:rFonts w:ascii="ＭＳ 明朝" w:eastAsia="ＭＳ 明朝" w:hAnsi="ＭＳ 明朝"/>
                <w:color w:val="000000" w:themeColor="text1"/>
              </w:rPr>
              <w:t>読み取れることを</w:t>
            </w:r>
            <w:r>
              <w:rPr>
                <w:rFonts w:ascii="ＭＳ 明朝" w:eastAsia="ＭＳ 明朝" w:hAnsi="ＭＳ 明朝" w:hint="eastAsia"/>
                <w:color w:val="000000" w:themeColor="text1"/>
              </w:rPr>
              <w:t>文章化する</w:t>
            </w:r>
            <w:r>
              <w:rPr>
                <w:rFonts w:ascii="ＭＳ 明朝" w:eastAsia="ＭＳ 明朝" w:hAnsi="ＭＳ 明朝"/>
                <w:color w:val="000000" w:themeColor="text1"/>
              </w:rPr>
              <w:t>機会を取り入れる。</w:t>
            </w:r>
          </w:p>
        </w:tc>
        <w:tc>
          <w:tcPr>
            <w:tcW w:w="1418" w:type="dxa"/>
            <w:tcBorders>
              <w:bottom w:val="single" w:sz="12" w:space="0" w:color="auto"/>
              <w:right w:val="single" w:sz="12" w:space="0" w:color="auto"/>
            </w:tcBorders>
          </w:tcPr>
          <w:p>
            <w:pPr>
              <w:rPr>
                <w:rFonts w:ascii="ＭＳ 明朝" w:eastAsia="ＭＳ 明朝" w:hAnsi="ＭＳ 明朝"/>
              </w:rPr>
            </w:pPr>
          </w:p>
        </w:tc>
      </w:tr>
    </w:tbl>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8CE1080D-F920-4BC8-962D-5A5A903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朋基</dc:creator>
  <cp:keywords/>
  <dc:description/>
  <cp:lastModifiedBy>服部　哲（校務）</cp:lastModifiedBy>
  <cp:revision>4</cp:revision>
  <cp:lastPrinted>2024-09-03T06:16:00Z</cp:lastPrinted>
  <dcterms:created xsi:type="dcterms:W3CDTF">2024-09-29T06:21:00Z</dcterms:created>
  <dcterms:modified xsi:type="dcterms:W3CDTF">2024-10-01T00:28:00Z</dcterms:modified>
</cp:coreProperties>
</file>