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exact"/>
      </w:pPr>
    </w:p>
    <w:tbl>
      <w:tblPr>
        <w:tblStyle w:val="a3"/>
        <w:tblpPr w:leftFromText="142" w:rightFromText="142" w:vertAnchor="page" w:horzAnchor="margin" w:tblpXSpec="center" w:tblpY="991"/>
        <w:tblW w:w="9638" w:type="dxa"/>
        <w:tblLook w:val="04A0" w:firstRow="1" w:lastRow="0" w:firstColumn="1" w:lastColumn="0" w:noHBand="0" w:noVBand="1"/>
      </w:tblPr>
      <w:tblGrid>
        <w:gridCol w:w="5386"/>
        <w:gridCol w:w="4252"/>
      </w:tblGrid>
      <w:tr>
        <w:trPr>
          <w:trHeight w:val="841"/>
        </w:trPr>
        <w:tc>
          <w:tcPr>
            <w:tcW w:w="5386" w:type="dxa"/>
            <w:tcBorders>
              <w:right w:val="nil"/>
            </w:tcBorders>
            <w:vAlign w:val="center"/>
          </w:tcPr>
          <w:p>
            <w:pPr>
              <w:rPr>
                <w:rFonts w:ascii="UD デジタル 教科書体 NK-R" w:eastAsia="UD デジタル 教科書体 NK-R" w:hAnsiTheme="majorEastAsia"/>
                <w:sz w:val="28"/>
              </w:rPr>
            </w:pPr>
            <w:r>
              <w:rPr>
                <w:rFonts w:ascii="UD デジタル 教科書体 NK-R" w:eastAsia="UD デジタル 教科書体 NK-R" w:hAnsiTheme="majorEastAsia" w:hint="eastAsia"/>
                <w:sz w:val="28"/>
              </w:rPr>
              <w:t>１年　数学科　ガイダンスシラバス</w:t>
            </w:r>
          </w:p>
        </w:tc>
        <w:tc>
          <w:tcPr>
            <w:tcW w:w="4252" w:type="dxa"/>
            <w:tcBorders>
              <w:left w:val="nil"/>
            </w:tcBorders>
            <w:vAlign w:val="center"/>
          </w:tcPr>
          <w:p>
            <w:pPr>
              <w:spacing w:line="28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教科担当　　　　代田  菖　　　　玉城  樹</w:t>
            </w:r>
          </w:p>
          <w:p>
            <w:pPr>
              <w:spacing w:line="28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長谷川</w:t>
            </w:r>
            <w:r>
              <w:rPr>
                <w:rFonts w:ascii="UD デジタル 教科書体 NK-R" w:eastAsia="UD デジタル 教科書体 NK-R" w:hAnsiTheme="majorEastAsia"/>
                <w:sz w:val="24"/>
              </w:rPr>
              <w:t xml:space="preserve">　</w:t>
            </w:r>
            <w:r>
              <w:rPr>
                <w:rFonts w:ascii="UD デジタル 教科書体 NK-R" w:eastAsia="UD デジタル 教科書体 NK-R" w:hAnsiTheme="majorEastAsia" w:hint="eastAsia"/>
                <w:sz w:val="24"/>
              </w:rPr>
              <w:t>実</w:t>
            </w:r>
            <w:r>
              <w:rPr>
                <w:rFonts w:ascii="UD デジタル 教科書体 NK-R" w:eastAsia="UD デジタル 教科書体 NK-R" w:hAnsiTheme="majorEastAsia"/>
                <w:sz w:val="24"/>
              </w:rPr>
              <w:t>穂</w:t>
            </w:r>
            <w:r>
              <w:rPr>
                <w:rFonts w:ascii="UD デジタル 教科書体 NK-R" w:eastAsia="UD デジタル 教科書体 NK-R" w:hAnsiTheme="majorEastAsia" w:hint="eastAsia"/>
                <w:sz w:val="24"/>
              </w:rPr>
              <w:t xml:space="preserve">  千葉  尭　　</w:t>
            </w:r>
          </w:p>
        </w:tc>
      </w:tr>
    </w:tbl>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１　数学を学ぶねらい</w:t>
      </w:r>
    </w:p>
    <w:tbl>
      <w:tblPr>
        <w:tblStyle w:val="a3"/>
        <w:tblW w:w="0" w:type="auto"/>
        <w:tblInd w:w="108" w:type="dxa"/>
        <w:tblLook w:val="04A0" w:firstRow="1" w:lastRow="0" w:firstColumn="1" w:lastColumn="0" w:noHBand="0" w:noVBand="1"/>
      </w:tblPr>
      <w:tblGrid>
        <w:gridCol w:w="9520"/>
      </w:tblGrid>
      <w:tr>
        <w:trPr>
          <w:trHeight w:val="1324"/>
        </w:trPr>
        <w:tc>
          <w:tcPr>
            <w:tcW w:w="9639" w:type="dxa"/>
            <w:vAlign w:val="center"/>
          </w:tcPr>
          <w:p>
            <w:pPr>
              <w:ind w:leftChars="100" w:left="315"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・基本的な計算技能の習得はもちろん、数学的活動を通して物事を筋道立てて考えるという「論理的思考力」や「自分で最後まで考え抜く力」を養う。</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・問題を解いたときの達成感や自分なりの解法を発見したときの喜びを感じる。</w:t>
            </w:r>
          </w:p>
        </w:tc>
      </w:tr>
    </w:tbl>
    <w:p>
      <w:pPr>
        <w:spacing w:line="240" w:lineRule="exact"/>
        <w:rPr>
          <w:rFonts w:ascii="UD デジタル 教科書体 NK-R" w:eastAsia="UD デジタル 教科書体 NK-R" w:hAnsiTheme="majorEastAsia"/>
        </w:rPr>
      </w:pP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２　学習方法</w:t>
      </w:r>
    </w:p>
    <w:tbl>
      <w:tblPr>
        <w:tblStyle w:val="a3"/>
        <w:tblW w:w="0" w:type="auto"/>
        <w:tblInd w:w="108" w:type="dxa"/>
        <w:tblLook w:val="04A0" w:firstRow="1" w:lastRow="0" w:firstColumn="1" w:lastColumn="0" w:noHBand="0" w:noVBand="1"/>
      </w:tblPr>
      <w:tblGrid>
        <w:gridCol w:w="9520"/>
      </w:tblGrid>
      <w:tr>
        <w:trPr>
          <w:trHeight w:val="2551"/>
        </w:trPr>
        <w:tc>
          <w:tcPr>
            <w:tcW w:w="9639" w:type="dxa"/>
            <w:vAlign w:val="center"/>
          </w:tcPr>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①授業中</w:t>
            </w:r>
          </w:p>
          <w:p>
            <w:pPr>
              <w:ind w:firstLineChars="200" w:firstLine="420"/>
              <w:rPr>
                <w:rFonts w:ascii="UD デジタル 教科書体 NK-R" w:eastAsia="UD デジタル 教科書体 NK-R" w:hAnsiTheme="majorEastAsia"/>
              </w:rPr>
            </w:pPr>
            <w:r>
              <w:rPr>
                <w:rFonts w:ascii="UD デジタル 教科書体 NK-R" w:eastAsia="UD デジタル 教科書体 NK-R" w:hAnsiTheme="majorEastAsia" w:hint="eastAsia"/>
              </w:rPr>
              <w:t>「チャイム着席・忘れ物をしない」は前提となります。５０分集中して授業に取り組むことが大事です。</w:t>
            </w:r>
          </w:p>
          <w:p>
            <w:pPr>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板書をそのまま写すのではなく、自分で先生の言葉をノートにメモすることも大事です。また、グループ学習では積極的に教え合うことも大切です。そして、わからないところは先生に質問して、疑問のままにしないようにしましょう。</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②自宅学習</w:t>
            </w:r>
          </w:p>
          <w:p>
            <w:pPr>
              <w:ind w:firstLineChars="200" w:firstLine="42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数学は日々の積み重ねが大事です。１日１問でもいいので毎日問題に取り組むように心がけましょう。</w:t>
            </w:r>
          </w:p>
        </w:tc>
      </w:tr>
    </w:tbl>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３　持ち物、忘れものなどについて</w:t>
      </w:r>
    </w:p>
    <w:tbl>
      <w:tblPr>
        <w:tblStyle w:val="a3"/>
        <w:tblW w:w="0" w:type="auto"/>
        <w:tblInd w:w="108" w:type="dxa"/>
        <w:tblLook w:val="04A0" w:firstRow="1" w:lastRow="0" w:firstColumn="1" w:lastColumn="0" w:noHBand="0" w:noVBand="1"/>
      </w:tblPr>
      <w:tblGrid>
        <w:gridCol w:w="9520"/>
      </w:tblGrid>
      <w:tr>
        <w:trPr>
          <w:trHeight w:val="861"/>
        </w:trPr>
        <w:tc>
          <w:tcPr>
            <w:tcW w:w="9639" w:type="dxa"/>
            <w:vAlign w:val="center"/>
          </w:tcPr>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●持ち物</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教科書、ノート、問題集、筆記用具</w:t>
            </w:r>
          </w:p>
          <w:p>
            <w:pPr>
              <w:ind w:firstLineChars="300" w:firstLine="630"/>
              <w:rPr>
                <w:rFonts w:ascii="UD デジタル 教科書体 NK-R" w:eastAsia="UD デジタル 教科書体 NK-R" w:hAnsiTheme="majorEastAsia"/>
              </w:rPr>
            </w:pPr>
            <w:r>
              <w:rPr>
                <w:rFonts w:ascii="UD デジタル 教科書体 NK-R" w:eastAsia="UD デジタル 教科書体 NK-R" w:hAnsiTheme="majorEastAsia" w:hint="eastAsia"/>
              </w:rPr>
              <w:t>※図形の授業の場合は、定規・コンパスも必要です。</w:t>
            </w:r>
          </w:p>
        </w:tc>
      </w:tr>
    </w:tbl>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４　学習の評価内容と評価方法</w:t>
      </w:r>
    </w:p>
    <w:tbl>
      <w:tblPr>
        <w:tblStyle w:val="a3"/>
        <w:tblW w:w="0" w:type="auto"/>
        <w:tblInd w:w="108" w:type="dxa"/>
        <w:tblLook w:val="04A0" w:firstRow="1" w:lastRow="0" w:firstColumn="1" w:lastColumn="0" w:noHBand="0" w:noVBand="1"/>
      </w:tblPr>
      <w:tblGrid>
        <w:gridCol w:w="9520"/>
      </w:tblGrid>
      <w:tr>
        <w:trPr>
          <w:trHeight w:val="4003"/>
        </w:trPr>
        <w:tc>
          <w:tcPr>
            <w:tcW w:w="9639" w:type="dxa"/>
            <w:vAlign w:val="center"/>
          </w:tcPr>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①「知識・技能」</w:t>
            </w:r>
          </w:p>
          <w:p>
            <w:pPr>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数学的な知識、および技能の習得の様子を評価します。公式、用語をはじめとするものが知識、計算作図の力などが技能になります。</w:t>
            </w:r>
          </w:p>
          <w:p>
            <w:pPr>
              <w:ind w:left="420"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【定期考査、小テスト】</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②「思考力、判断力、表現力等」</w:t>
            </w:r>
          </w:p>
          <w:p>
            <w:pPr>
              <w:ind w:left="210"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学習事項の良さや必要性を見いだせるか、既習事項を活用して問題が解けるか、など知識と技能を使い実生活に結び付けたり数学的に物事を考えたりできるかを評価します。</w:t>
            </w:r>
          </w:p>
          <w:p>
            <w:pPr>
              <w:ind w:left="420"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【定期考査、小テスト】</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③「主体的に学習に取り組む態度」</w:t>
            </w:r>
          </w:p>
          <w:p>
            <w:pPr>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問題に向かう際に解決方法を探したり、どのように取り組めば解けたりできるかなど積極的に数学に取り組む様子を評価します。</w:t>
            </w:r>
          </w:p>
          <w:p>
            <w:pPr>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【ワーク、自己評価カード等】</w:t>
            </w:r>
          </w:p>
        </w:tc>
      </w:tr>
    </w:tbl>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５　先生からのアドバイス</w:t>
      </w:r>
    </w:p>
    <w:tbl>
      <w:tblPr>
        <w:tblStyle w:val="a3"/>
        <w:tblW w:w="0" w:type="auto"/>
        <w:tblInd w:w="108" w:type="dxa"/>
        <w:tblLook w:val="04A0" w:firstRow="1" w:lastRow="0" w:firstColumn="1" w:lastColumn="0" w:noHBand="0" w:noVBand="1"/>
      </w:tblPr>
      <w:tblGrid>
        <w:gridCol w:w="9520"/>
      </w:tblGrid>
      <w:tr>
        <w:trPr>
          <w:trHeight w:val="1984"/>
        </w:trPr>
        <w:tc>
          <w:tcPr>
            <w:tcW w:w="9639" w:type="dxa"/>
            <w:vAlign w:val="center"/>
          </w:tcPr>
          <w:p>
            <w:pPr>
              <w:overflowPunct w:val="0"/>
              <w:ind w:firstLineChars="100" w:firstLine="21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授業の５０分はしっかり集中しましょう。</w:t>
            </w:r>
          </w:p>
          <w:p>
            <w:pPr>
              <w:ind w:firstLineChars="100" w:firstLine="210"/>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数学は自分の力で考えることが大切です。授業に積極的に参加し、疑問に思ったことは遠慮せずに質問しましょう。問題集やテストで、できなかったものはそのままにせず解き直しをしましょう。</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特に問題集のわからない問題はただ解答を写すだけでなく、内容の理解に努めましょう。わからないときは先生に質問しましょう。「内容理解」と「繰り返し学習」がポイントです。</w:t>
            </w:r>
          </w:p>
        </w:tc>
      </w:tr>
    </w:tbl>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lastRenderedPageBreak/>
        <w:t>６　数学科1年　年間学習計画</w:t>
      </w:r>
    </w:p>
    <w:tbl>
      <w:tblPr>
        <w:tblW w:w="9638" w:type="dxa"/>
        <w:tblInd w:w="109" w:type="dxa"/>
        <w:tblLayout w:type="fixed"/>
        <w:tblCellMar>
          <w:left w:w="0" w:type="dxa"/>
          <w:right w:w="0" w:type="dxa"/>
        </w:tblCellMar>
        <w:tblLook w:val="0000" w:firstRow="0" w:lastRow="0" w:firstColumn="0" w:lastColumn="0" w:noHBand="0" w:noVBand="0"/>
      </w:tblPr>
      <w:tblGrid>
        <w:gridCol w:w="567"/>
        <w:gridCol w:w="567"/>
        <w:gridCol w:w="3118"/>
        <w:gridCol w:w="3685"/>
        <w:gridCol w:w="1701"/>
      </w:tblGrid>
      <w:tr>
        <w:trPr>
          <w:trHeight w:val="39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学期</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月</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単元名・学習内容</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学習の目標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評価方法</w:t>
            </w:r>
          </w:p>
        </w:tc>
      </w:tr>
      <w:t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４</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５</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６</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７</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１　正の数・負の数</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正の数・負の数</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正の数・負の数の計算</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正の数・負の数の利用</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素因数分解</w:t>
            </w: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２　文字の式</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文字と式</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文字式の計算</w:t>
            </w:r>
          </w:p>
          <w:p>
            <w:pPr>
              <w:snapToGrid w:val="0"/>
              <w:ind w:firstLineChars="100" w:firstLine="21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pPr>
              <w:snapToGrid w:val="0"/>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・数の範囲を拡張して、計算の可能性をひろげ、数についての処理がいっそう手際よくできるようにする。</w:t>
            </w:r>
          </w:p>
          <w:p>
            <w:pPr>
              <w:snapToGrid w:val="0"/>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・自然数を素数と合成数と１に分類できることを理解する。</w:t>
            </w:r>
          </w:p>
          <w:p>
            <w:pPr>
              <w:snapToGrid w:val="0"/>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文字を使って、数量や数量の関係などを簡潔・明瞭に、しかも一般的に表すことを通して、文字を用いることの良さや必要性に気づく。また、表された式を読んだり、敷を計算したりすることを通して、文字式を利用するための基礎的な技能を身に付け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・授業での取り組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み</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pPr>
              <w:snapToGrid w:val="0"/>
              <w:rPr>
                <w:rFonts w:ascii="UD デジタル 教科書体 NK-R" w:eastAsia="UD デジタル 教科書体 NK-R" w:hAnsiTheme="majorEastAsia" w:hint="eastAsia"/>
              </w:rPr>
            </w:pPr>
            <w:r>
              <w:rPr>
                <w:rFonts w:ascii="UD デジタル 教科書体 NK-R" w:eastAsia="UD デジタル 教科書体 NK-R" w:hAnsiTheme="majorEastAsia" w:hint="eastAsia"/>
              </w:rPr>
              <w:t>・ワーク</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等</w:t>
            </w:r>
          </w:p>
        </w:tc>
      </w:tr>
      <w:tr>
        <w:trPr>
          <w:trHeight w:val="36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２</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９</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１０</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１１</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１２</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tc>
        <w:tc>
          <w:tcPr>
            <w:tcW w:w="3118" w:type="dxa"/>
            <w:vMerge w:val="restart"/>
            <w:tcBorders>
              <w:top w:val="single" w:sz="4" w:space="0" w:color="000000"/>
              <w:left w:val="single" w:sz="4" w:space="0" w:color="000000"/>
              <w:bottom w:val="nil"/>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２　文字の式</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文字式の利用</w:t>
            </w: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３　１次方程式</w:t>
            </w:r>
          </w:p>
          <w:p>
            <w:pPr>
              <w:snapToGrid w:val="0"/>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１次方程式</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１次方程式の利用</w:t>
            </w: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４　比例と反比例</w:t>
            </w:r>
          </w:p>
          <w:p>
            <w:pPr>
              <w:snapToGrid w:val="0"/>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比例</w:t>
            </w:r>
          </w:p>
          <w:p>
            <w:pPr>
              <w:snapToGrid w:val="0"/>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反比例</w:t>
            </w:r>
          </w:p>
          <w:p>
            <w:pPr>
              <w:snapToGrid w:val="0"/>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比例・反比例の利用</w:t>
            </w: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５　平面図形</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平面図形</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作図</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円</w:t>
            </w:r>
          </w:p>
        </w:tc>
        <w:tc>
          <w:tcPr>
            <w:tcW w:w="3685" w:type="dxa"/>
            <w:vMerge w:val="restart"/>
            <w:tcBorders>
              <w:top w:val="single" w:sz="4" w:space="0" w:color="000000"/>
              <w:left w:val="single" w:sz="4" w:space="0" w:color="000000"/>
              <w:bottom w:val="nil"/>
              <w:right w:val="single" w:sz="4" w:space="0" w:color="000000"/>
            </w:tcBorders>
            <w:tcMar>
              <w:left w:w="49" w:type="dxa"/>
              <w:right w:w="49" w:type="dxa"/>
            </w:tcMar>
          </w:tcPr>
          <w:p>
            <w:pPr>
              <w:snapToGrid w:val="0"/>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・文字を含む等式から、文字の値を求める方法を理解し、これを用いることによって、実際の問題が形式的、能率的に処理できることを知り、さらにその方法が活用できるようにする。</w:t>
            </w:r>
          </w:p>
          <w:p>
            <w:pPr>
              <w:snapToGrid w:val="0"/>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・具体的な事象の中にあるともなって変わる２つの数量に着目して、比例や反比例の関係を見出し、その変化や対応の様子を考察することを通して理解を深め、利用できるようにする。</w:t>
            </w:r>
          </w:p>
          <w:p>
            <w:pPr>
              <w:snapToGrid w:val="0"/>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いろいろな平面図形について、小学校で学んだ知識をもとに、観察、操作、実験などの活動を通して、図形に対する直感的な見方や考え方を深め、基礎的な知識・技能を習得する。また、それらを具体的な場面で活用することを通して、論理的に考察し表現する能力を養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授業での取り組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み</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pPr>
              <w:snapToGrid w:val="0"/>
              <w:rPr>
                <w:rFonts w:ascii="UD デジタル 教科書体 NK-R" w:eastAsia="UD デジタル 教科書体 NK-R" w:hAnsiTheme="majorEastAsia" w:hint="eastAsia"/>
              </w:rPr>
            </w:pPr>
            <w:r>
              <w:rPr>
                <w:rFonts w:ascii="UD デジタル 教科書体 NK-R" w:eastAsia="UD デジタル 教科書体 NK-R" w:hAnsiTheme="majorEastAsia" w:hint="eastAsia"/>
              </w:rPr>
              <w:t>・ワーク</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等</w:t>
            </w:r>
          </w:p>
        </w:tc>
      </w:tr>
      <w:tr>
        <w:trPr>
          <w:trHeight w:val="360"/>
        </w:trPr>
        <w:tc>
          <w:tcPr>
            <w:tcW w:w="567" w:type="dxa"/>
            <w:vMerge/>
            <w:tcBorders>
              <w:top w:val="single" w:sz="4" w:space="0" w:color="000000"/>
              <w:left w:val="single" w:sz="4" w:space="0" w:color="000000"/>
              <w:bottom w:val="nil"/>
              <w:right w:val="single" w:sz="4" w:space="0" w:color="000000"/>
            </w:tcBorders>
            <w:tcMar>
              <w:left w:w="49" w:type="dxa"/>
              <w:right w:w="49" w:type="dxa"/>
            </w:tcMar>
            <w:vAlign w:val="center"/>
          </w:tcPr>
          <w:p>
            <w:pPr>
              <w:snapToGrid w:val="0"/>
              <w:jc w:val="center"/>
              <w:rPr>
                <w:rFonts w:ascii="UD デジタル 教科書体 NK-R" w:eastAsia="UD デジタル 教科書体 NK-R" w:hAnsiTheme="majorEastAsia"/>
              </w:rPr>
            </w:pPr>
          </w:p>
        </w:tc>
        <w:tc>
          <w:tcPr>
            <w:tcW w:w="567" w:type="dxa"/>
            <w:vMerge/>
            <w:tcBorders>
              <w:top w:val="single" w:sz="4" w:space="0" w:color="000000"/>
              <w:left w:val="single" w:sz="4" w:space="0" w:color="000000"/>
              <w:bottom w:val="nil"/>
              <w:right w:val="single" w:sz="4" w:space="0" w:color="000000"/>
            </w:tcBorders>
            <w:tcMar>
              <w:left w:w="49" w:type="dxa"/>
              <w:right w:w="49" w:type="dxa"/>
            </w:tcMar>
          </w:tcPr>
          <w:p>
            <w:pPr>
              <w:snapToGrid w:val="0"/>
              <w:jc w:val="center"/>
              <w:rPr>
                <w:rFonts w:ascii="UD デジタル 教科書体 NK-R" w:eastAsia="UD デジタル 教科書体 NK-R" w:hAnsiTheme="majorEastAsia"/>
              </w:rPr>
            </w:pPr>
          </w:p>
        </w:tc>
        <w:tc>
          <w:tcPr>
            <w:tcW w:w="3118" w:type="dxa"/>
            <w:vMerge/>
            <w:tcBorders>
              <w:top w:val="single" w:sz="4" w:space="0" w:color="000000"/>
              <w:left w:val="single" w:sz="4" w:space="0" w:color="000000"/>
              <w:bottom w:val="nil"/>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c>
          <w:tcPr>
            <w:tcW w:w="3685" w:type="dxa"/>
            <w:vMerge/>
            <w:tcBorders>
              <w:top w:val="single" w:sz="4" w:space="0" w:color="000000"/>
              <w:left w:val="single" w:sz="4" w:space="0" w:color="000000"/>
              <w:bottom w:val="nil"/>
              <w:right w:val="single" w:sz="4" w:space="0" w:color="000000"/>
            </w:tcBorders>
            <w:tcMar>
              <w:left w:w="49" w:type="dxa"/>
              <w:right w:w="49" w:type="dxa"/>
            </w:tcMar>
          </w:tcPr>
          <w:p>
            <w:pPr>
              <w:snapToGrid w:val="0"/>
              <w:ind w:leftChars="100" w:left="210" w:rightChars="72" w:right="151"/>
              <w:rPr>
                <w:rFonts w:ascii="UD デジタル 教科書体 NK-R" w:eastAsia="UD デジタル 教科書体 NK-R" w:hAnsiTheme="majorEastAsia"/>
              </w:rPr>
            </w:pPr>
          </w:p>
        </w:tc>
        <w:tc>
          <w:tcPr>
            <w:tcW w:w="1701" w:type="dxa"/>
            <w:vMerge/>
            <w:tcBorders>
              <w:top w:val="single" w:sz="4" w:space="0" w:color="000000"/>
              <w:left w:val="single" w:sz="4" w:space="0" w:color="000000"/>
              <w:bottom w:val="nil"/>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r>
      <w:tr>
        <w:trPr>
          <w:trHeight w:val="5021"/>
        </w:trPr>
        <w:tc>
          <w:tcPr>
            <w:tcW w:w="567" w:type="dxa"/>
            <w:vMerge/>
            <w:tcBorders>
              <w:top w:val="nil"/>
              <w:left w:val="single" w:sz="4" w:space="0" w:color="000000"/>
              <w:bottom w:val="single"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c>
          <w:tcPr>
            <w:tcW w:w="567" w:type="dxa"/>
            <w:vMerge/>
            <w:tcBorders>
              <w:top w:val="nil"/>
              <w:left w:val="single" w:sz="4" w:space="0" w:color="000000"/>
              <w:bottom w:val="single"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c>
          <w:tcPr>
            <w:tcW w:w="3118" w:type="dxa"/>
            <w:vMerge/>
            <w:tcBorders>
              <w:top w:val="nil"/>
              <w:left w:val="single" w:sz="4" w:space="0" w:color="000000"/>
              <w:bottom w:val="single"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c>
          <w:tcPr>
            <w:tcW w:w="3685" w:type="dxa"/>
            <w:vMerge/>
            <w:tcBorders>
              <w:top w:val="nil"/>
              <w:left w:val="single" w:sz="4" w:space="0" w:color="000000"/>
              <w:bottom w:val="single"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c>
          <w:tcPr>
            <w:tcW w:w="1701" w:type="dxa"/>
            <w:vMerge/>
            <w:tcBorders>
              <w:top w:val="nil"/>
              <w:left w:val="single" w:sz="4" w:space="0" w:color="000000"/>
              <w:bottom w:val="single"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p>
        </w:tc>
      </w:tr>
      <w:tr>
        <w:trPr>
          <w:trHeight w:val="3688"/>
        </w:trPr>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３</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２</w:t>
            </w: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p>
          <w:p>
            <w:pPr>
              <w:snapToGrid w:val="0"/>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３</w:t>
            </w:r>
          </w:p>
        </w:tc>
        <w:tc>
          <w:tcPr>
            <w:tcW w:w="3118" w:type="dxa"/>
            <w:tcBorders>
              <w:top w:val="single" w:sz="4" w:space="0" w:color="auto"/>
              <w:left w:val="single" w:sz="4" w:space="0" w:color="000000"/>
              <w:bottom w:val="single" w:sz="4" w:space="0" w:color="000000"/>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６　空間図形</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空間図形</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立体の体積と表面積</w:t>
            </w: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７　データの活用</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データの整理とその活用</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確率</w:t>
            </w:r>
          </w:p>
        </w:tc>
        <w:tc>
          <w:tcPr>
            <w:tcW w:w="3685" w:type="dxa"/>
            <w:tcBorders>
              <w:top w:val="single" w:sz="4" w:space="0" w:color="auto"/>
              <w:left w:val="single" w:sz="4" w:space="0" w:color="000000"/>
              <w:bottom w:val="single" w:sz="4" w:space="0" w:color="000000"/>
              <w:right w:val="single" w:sz="4" w:space="0" w:color="000000"/>
            </w:tcBorders>
            <w:tcMar>
              <w:left w:w="49" w:type="dxa"/>
              <w:right w:w="49" w:type="dxa"/>
            </w:tcMar>
          </w:tcPr>
          <w:p>
            <w:pPr>
              <w:snapToGrid w:val="0"/>
              <w:ind w:left="105"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・観察、操作、実験などの活動を通して、空間図形に対する直感的な見方や考え方を深めるとともに、空間図形の性質について論理的に考察する</w:t>
            </w:r>
          </w:p>
          <w:p>
            <w:pPr>
              <w:snapToGrid w:val="0"/>
              <w:ind w:left="105"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・能力や、立体の計量についていの能力を高める。</w:t>
            </w:r>
          </w:p>
          <w:p>
            <w:pPr>
              <w:snapToGrid w:val="0"/>
              <w:ind w:firstLineChars="100" w:firstLine="210"/>
              <w:rPr>
                <w:rFonts w:ascii="UD デジタル 教科書体 NK-R" w:eastAsia="UD デジタル 教科書体 NK-R" w:hAnsiTheme="majorEastAsia"/>
              </w:rPr>
            </w:pPr>
          </w:p>
          <w:p>
            <w:pPr>
              <w:snapToGrid w:val="0"/>
              <w:ind w:left="105"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目的に応じて資料を収集し、コンピューターを用いるなどして表やグラフに整理し、代表値や資料の散らばりに着目してその資料の傾向を読み取ることができるようにするとともに、数の表現に関する理解を深める。</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授業での取り組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み</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pPr>
              <w:snapToGrid w:val="0"/>
              <w:rPr>
                <w:rFonts w:ascii="UD デジタル 教科書体 NK-R" w:eastAsia="UD デジタル 教科書体 NK-R" w:hAnsiTheme="majorEastAsia" w:hint="eastAsia"/>
              </w:rPr>
            </w:pPr>
            <w:r>
              <w:rPr>
                <w:rFonts w:ascii="UD デジタル 教科書体 NK-R" w:eastAsia="UD デジタル 教科書体 NK-R" w:hAnsiTheme="majorEastAsia" w:hint="eastAsia"/>
              </w:rPr>
              <w:t>・ワーク</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等</w:t>
            </w:r>
          </w:p>
        </w:tc>
      </w:tr>
    </w:tbl>
    <w:p>
      <w:pPr>
        <w:snapToGrid w:val="0"/>
        <w:rPr>
          <w:rFonts w:ascii="UD デジタル 教科書体 NK-R" w:eastAsia="UD デジタル 教科書体 NK-R" w:hAnsiTheme="majorEastAsia"/>
        </w:rPr>
      </w:pPr>
    </w:p>
    <w:p>
      <w:pPr>
        <w:snapToGrid w:val="0"/>
        <w:rPr>
          <w:rFonts w:ascii="UD デジタル 教科書体 NK-R" w:eastAsia="UD デジタル 教科書体 NK-R" w:hAnsiTheme="majorEastAsia" w:hint="eastAsia"/>
        </w:rPr>
      </w:pPr>
      <w:bookmarkStart w:id="0" w:name="_GoBack"/>
      <w:bookmarkEnd w:id="0"/>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6479955-7F77-4DAC-8F3C-E99DE92A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69EA-E3D3-425B-84BD-3AD7A039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本杉　貴保2（校務）</cp:lastModifiedBy>
  <cp:revision>14</cp:revision>
  <cp:lastPrinted>2025-04-21T04:24:00Z</cp:lastPrinted>
  <dcterms:created xsi:type="dcterms:W3CDTF">2024-04-23T03:26:00Z</dcterms:created>
  <dcterms:modified xsi:type="dcterms:W3CDTF">2025-04-21T05:11:00Z</dcterms:modified>
</cp:coreProperties>
</file>