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991"/>
        <w:tblW w:w="9638" w:type="dxa"/>
        <w:tblLook w:val="04A0" w:firstRow="1" w:lastRow="0" w:firstColumn="1" w:lastColumn="0" w:noHBand="0" w:noVBand="1"/>
      </w:tblPr>
      <w:tblGrid>
        <w:gridCol w:w="5386"/>
        <w:gridCol w:w="4252"/>
      </w:tblGrid>
      <w:tr w:rsidR="00B373F8">
        <w:trPr>
          <w:trHeight w:val="1077"/>
        </w:trPr>
        <w:tc>
          <w:tcPr>
            <w:tcW w:w="5386" w:type="dxa"/>
            <w:tcBorders>
              <w:right w:val="nil"/>
            </w:tcBorders>
            <w:vAlign w:val="center"/>
          </w:tcPr>
          <w:p w:rsidR="00B373F8" w:rsidRDefault="00D51157">
            <w:pPr>
              <w:spacing w:line="280" w:lineRule="exact"/>
              <w:rPr>
                <w:rFonts w:ascii="UD デジタル 教科書体 NK-R" w:eastAsia="UD デジタル 教科書体 NK-R" w:hAnsiTheme="majorEastAsia"/>
                <w:sz w:val="28"/>
              </w:rPr>
            </w:pPr>
            <w:r>
              <w:rPr>
                <w:rFonts w:ascii="UD デジタル 教科書体 NK-R" w:eastAsia="UD デジタル 教科書体 NK-R" w:hAnsiTheme="majorEastAsia" w:hint="eastAsia"/>
                <w:sz w:val="28"/>
              </w:rPr>
              <w:t>３年　数学科　ガイダンスシラバス</w:t>
            </w:r>
          </w:p>
        </w:tc>
        <w:tc>
          <w:tcPr>
            <w:tcW w:w="4252" w:type="dxa"/>
            <w:tcBorders>
              <w:left w:val="nil"/>
            </w:tcBorders>
            <w:vAlign w:val="center"/>
          </w:tcPr>
          <w:p w:rsidR="00B373F8" w:rsidRDefault="00D51157">
            <w:pPr>
              <w:spacing w:line="280" w:lineRule="exact"/>
              <w:ind w:firstLineChars="100" w:firstLine="24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教科担当　千葉　</w:t>
            </w:r>
            <w:r>
              <w:rPr>
                <w:rFonts w:ascii="UD デジタル 教科書体 NK-R" w:eastAsia="UD デジタル 教科書体 NK-R" w:hAnsiTheme="majorEastAsia"/>
                <w:sz w:val="24"/>
              </w:rPr>
              <w:t>尭</w:t>
            </w:r>
            <w:r>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玉城</w:t>
            </w:r>
            <w:r>
              <w:rPr>
                <w:rFonts w:ascii="UD デジタル 教科書体 NK-R" w:eastAsia="UD デジタル 教科書体 NK-R" w:hAnsiTheme="majorEastAsia"/>
                <w:sz w:val="24"/>
              </w:rPr>
              <w:t xml:space="preserve">　</w:t>
            </w:r>
            <w:r>
              <w:rPr>
                <w:rFonts w:ascii="UD デジタル 教科書体 NK-R" w:eastAsia="UD デジタル 教科書体 NK-R" w:hAnsiTheme="majorEastAsia" w:hint="eastAsia"/>
                <w:sz w:val="24"/>
              </w:rPr>
              <w:t>樹</w:t>
            </w:r>
          </w:p>
          <w:p w:rsidR="00B373F8" w:rsidRDefault="00D51157">
            <w:pPr>
              <w:spacing w:line="280" w:lineRule="exact"/>
              <w:ind w:firstLineChars="550" w:firstLine="132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代田　菖　　長谷川</w:t>
            </w:r>
            <w:r>
              <w:rPr>
                <w:rFonts w:ascii="UD デジタル 教科書体 NK-R" w:eastAsia="UD デジタル 教科書体 NK-R" w:hAnsiTheme="majorEastAsia"/>
                <w:sz w:val="24"/>
              </w:rPr>
              <w:t xml:space="preserve">　</w:t>
            </w:r>
            <w:r>
              <w:rPr>
                <w:rFonts w:ascii="UD デジタル 教科書体 NK-R" w:eastAsia="UD デジタル 教科書体 NK-R" w:hAnsiTheme="majorEastAsia" w:hint="eastAsia"/>
                <w:sz w:val="24"/>
              </w:rPr>
              <w:t>実</w:t>
            </w:r>
            <w:r>
              <w:rPr>
                <w:rFonts w:ascii="UD デジタル 教科書体 NK-R" w:eastAsia="UD デジタル 教科書体 NK-R" w:hAnsiTheme="majorEastAsia"/>
                <w:sz w:val="24"/>
              </w:rPr>
              <w:t>穂</w:t>
            </w: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１　数学を学ぶねらい</w:t>
      </w:r>
    </w:p>
    <w:tbl>
      <w:tblPr>
        <w:tblStyle w:val="a3"/>
        <w:tblW w:w="0" w:type="auto"/>
        <w:jc w:val="center"/>
        <w:tblLook w:val="04A0" w:firstRow="1" w:lastRow="0" w:firstColumn="1" w:lastColumn="0" w:noHBand="0" w:noVBand="1"/>
      </w:tblPr>
      <w:tblGrid>
        <w:gridCol w:w="9639"/>
      </w:tblGrid>
      <w:tr w:rsidR="00B373F8">
        <w:trPr>
          <w:trHeight w:val="1360"/>
          <w:jc w:val="center"/>
        </w:trPr>
        <w:tc>
          <w:tcPr>
            <w:tcW w:w="9639" w:type="dxa"/>
            <w:vAlign w:val="center"/>
          </w:tcPr>
          <w:p w:rsidR="00B373F8" w:rsidRDefault="00D51157">
            <w:pPr>
              <w:ind w:left="10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・基本的な計算技能の習得はもちろん、数学的活動を通して物事を筋道立てて考えるという「論理的思考力」や「自分で最後まで考え抜く力」を養う。</w:t>
            </w: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・問題を解いたときの達成感や、自分なりの解法を発見したときの喜びを感じさせる。</w:t>
            </w: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２　学習方法</w:t>
      </w:r>
    </w:p>
    <w:tbl>
      <w:tblPr>
        <w:tblStyle w:val="a3"/>
        <w:tblW w:w="0" w:type="auto"/>
        <w:jc w:val="center"/>
        <w:tblLook w:val="04A0" w:firstRow="1" w:lastRow="0" w:firstColumn="1" w:lastColumn="0" w:noHBand="0" w:noVBand="1"/>
      </w:tblPr>
      <w:tblGrid>
        <w:gridCol w:w="9639"/>
      </w:tblGrid>
      <w:tr w:rsidR="00B373F8">
        <w:trPr>
          <w:trHeight w:val="2494"/>
          <w:jc w:val="center"/>
        </w:trPr>
        <w:tc>
          <w:tcPr>
            <w:tcW w:w="9639" w:type="dxa"/>
            <w:vAlign w:val="center"/>
          </w:tcPr>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①授業中</w:t>
            </w:r>
          </w:p>
          <w:p w:rsidR="00B373F8" w:rsidRDefault="00D51157">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「チャイム前着席・忘れ物をしない」は大前提となります。５０分集中して授業に取り組むことが大事です。</w:t>
            </w:r>
          </w:p>
          <w:p w:rsidR="00B373F8" w:rsidRDefault="00D51157">
            <w:pPr>
              <w:ind w:leftChars="100" w:left="210"/>
              <w:rPr>
                <w:rFonts w:ascii="UD デジタル 教科書体 NK-R" w:eastAsia="UD デジタル 教科書体 NK-R" w:hAnsiTheme="majorEastAsia"/>
              </w:rPr>
            </w:pPr>
            <w:r>
              <w:rPr>
                <w:rFonts w:ascii="UD デジタル 教科書体 NK-R" w:eastAsia="UD デジタル 教科書体 NK-R" w:hAnsiTheme="majorEastAsia" w:hint="eastAsia"/>
              </w:rPr>
              <w:t>板書をそのまま写すのではなく、授業中の先生の言葉や友達の発言などをノートにメモすることも大事です。また、グループ学習では積極的に教え合うことも大切です。そして、演習などで時間の余ったときには自分から問題集などに取り組むことも大切です。</w:t>
            </w: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②自宅学習</w:t>
            </w:r>
          </w:p>
          <w:p w:rsidR="00B373F8" w:rsidRDefault="00D51157">
            <w:pPr>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数学は日々の積み重ねが大事になりますので、毎日問題に取り組むように心がけましょう。</w:t>
            </w: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３　持ち物、忘れものなどについて</w:t>
      </w:r>
    </w:p>
    <w:tbl>
      <w:tblPr>
        <w:tblStyle w:val="a3"/>
        <w:tblW w:w="0" w:type="auto"/>
        <w:jc w:val="center"/>
        <w:tblLook w:val="04A0" w:firstRow="1" w:lastRow="0" w:firstColumn="1" w:lastColumn="0" w:noHBand="0" w:noVBand="1"/>
      </w:tblPr>
      <w:tblGrid>
        <w:gridCol w:w="9639"/>
      </w:tblGrid>
      <w:tr w:rsidR="00B373F8">
        <w:trPr>
          <w:trHeight w:val="907"/>
          <w:jc w:val="center"/>
        </w:trPr>
        <w:tc>
          <w:tcPr>
            <w:tcW w:w="9639" w:type="dxa"/>
            <w:vAlign w:val="center"/>
          </w:tcPr>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【持ち物】</w:t>
            </w: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教科書、ノート、問題集、筆記用具</w:t>
            </w:r>
          </w:p>
          <w:p w:rsidR="00B373F8" w:rsidRDefault="00D51157">
            <w:pPr>
              <w:ind w:firstLineChars="250" w:firstLine="525"/>
              <w:rPr>
                <w:rFonts w:ascii="UD デジタル 教科書体 NK-R" w:eastAsia="UD デジタル 教科書体 NK-R" w:hAnsiTheme="majorEastAsia"/>
              </w:rPr>
            </w:pPr>
            <w:r>
              <w:rPr>
                <w:rFonts w:ascii="UD デジタル 教科書体 NK-R" w:eastAsia="UD デジタル 教科書体 NK-R" w:hAnsiTheme="majorEastAsia" w:hint="eastAsia"/>
              </w:rPr>
              <w:t>※図形の単元や入試演習の授業の場合、定規の他にコンパス・三角定規等も必要となります。</w:t>
            </w: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４　学習の評価内容と評価方法</w:t>
      </w:r>
    </w:p>
    <w:tbl>
      <w:tblPr>
        <w:tblStyle w:val="a3"/>
        <w:tblW w:w="0" w:type="auto"/>
        <w:jc w:val="center"/>
        <w:tblLook w:val="04A0" w:firstRow="1" w:lastRow="0" w:firstColumn="1" w:lastColumn="0" w:noHBand="0" w:noVBand="1"/>
      </w:tblPr>
      <w:tblGrid>
        <w:gridCol w:w="9639"/>
      </w:tblGrid>
      <w:tr w:rsidR="00B373F8">
        <w:trPr>
          <w:trHeight w:val="2778"/>
          <w:jc w:val="center"/>
        </w:trPr>
        <w:tc>
          <w:tcPr>
            <w:tcW w:w="9639" w:type="dxa"/>
            <w:vAlign w:val="center"/>
          </w:tcPr>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①「知識・技能」</w:t>
            </w:r>
          </w:p>
          <w:p w:rsidR="00B373F8" w:rsidRDefault="00D51157">
            <w:pPr>
              <w:ind w:left="42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数量や図形などについての基礎的な概念や原理・法則などを理解している。事象を数学化したり、数学的に解釈したり、数学的に表現・処理したりする技能を身に付けている。</w:t>
            </w:r>
          </w:p>
          <w:p w:rsidR="00B373F8" w:rsidRDefault="00D51157">
            <w:pPr>
              <w:ind w:left="42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【定期考査、小テスト】</w:t>
            </w: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②「思考・判断・表現」</w:t>
            </w:r>
          </w:p>
          <w:p w:rsidR="00B373F8" w:rsidRDefault="00D51157">
            <w:pPr>
              <w:ind w:leftChars="200" w:left="42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数学を活用して事象を論理的に考察する力、数量や図形などの性質を見いだし総合的・発展的に考察する力、数学的な表現を</w:t>
            </w:r>
            <w:r>
              <w:rPr>
                <w:rFonts w:ascii="UD デジタル 教科書体 NK-R" w:eastAsia="UD デジタル 教科書体 NK-R" w:hAnsiTheme="majorEastAsia" w:hint="eastAsia"/>
              </w:rPr>
              <w:t>用いて事象を簡潔・明瞭・的確に表現する力を身に付けている。</w:t>
            </w:r>
          </w:p>
          <w:p w:rsidR="00B373F8" w:rsidRDefault="00D51157">
            <w:pPr>
              <w:ind w:firstLineChars="300" w:firstLine="63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【定期考査、小テスト】</w:t>
            </w: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③「主体的に学習に取り組む態度」</w:t>
            </w:r>
          </w:p>
          <w:p w:rsidR="00B373F8" w:rsidRDefault="00D51157">
            <w:pPr>
              <w:ind w:leftChars="200" w:left="42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数学的活動の楽しさや数学のよさを実感して粘り強く考え、数学を生活や学習に生かそうとしたり、問題解決の過程を振り返って評価・改善しようとしたりしている。</w:t>
            </w:r>
          </w:p>
          <w:p w:rsidR="00B373F8" w:rsidRDefault="00D51157">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【ワーク、自己評価カード等】</w:t>
            </w:r>
          </w:p>
          <w:p w:rsidR="00B373F8" w:rsidRDefault="00B373F8">
            <w:pPr>
              <w:ind w:firstLineChars="100" w:firstLine="210"/>
              <w:rPr>
                <w:rFonts w:ascii="UD デジタル 教科書体 NK-R" w:eastAsia="UD デジタル 教科書体 NK-R" w:hAnsiTheme="majorEastAsia"/>
              </w:rPr>
            </w:pP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５　先生からのアドバイス</w:t>
      </w:r>
    </w:p>
    <w:tbl>
      <w:tblPr>
        <w:tblStyle w:val="a3"/>
        <w:tblW w:w="0" w:type="auto"/>
        <w:jc w:val="center"/>
        <w:tblLook w:val="04A0" w:firstRow="1" w:lastRow="0" w:firstColumn="1" w:lastColumn="0" w:noHBand="0" w:noVBand="1"/>
      </w:tblPr>
      <w:tblGrid>
        <w:gridCol w:w="9639"/>
      </w:tblGrid>
      <w:tr w:rsidR="00B373F8">
        <w:trPr>
          <w:trHeight w:val="1928"/>
          <w:jc w:val="center"/>
        </w:trPr>
        <w:tc>
          <w:tcPr>
            <w:tcW w:w="9639" w:type="dxa"/>
            <w:vAlign w:val="center"/>
          </w:tcPr>
          <w:p w:rsidR="00B373F8" w:rsidRDefault="00D51157">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授業の５０分はしっかり集中しましょう。</w:t>
            </w:r>
          </w:p>
          <w:p w:rsidR="00B373F8" w:rsidRDefault="00D51157">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数学は自分の力で考えることが大切です。授業に積極的に参加し、疑問に思ったことは遠慮せずに質問しましょう。問題集やテストで、できなかったものはそのままにせず解き直しましょう。</w:t>
            </w:r>
          </w:p>
          <w:p w:rsidR="00B373F8" w:rsidRDefault="00D51157">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特に、問題集のわからない問題は解答を写すだけでなく、内容の理解に努めましょう。</w:t>
            </w:r>
          </w:p>
          <w:p w:rsidR="00B373F8" w:rsidRDefault="00D51157">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「内容理解」と「繰り返し学習」がポイントです。</w:t>
            </w:r>
          </w:p>
        </w:tc>
      </w:tr>
    </w:tbl>
    <w:p w:rsidR="00B373F8" w:rsidRDefault="00B373F8">
      <w:pPr>
        <w:rPr>
          <w:rFonts w:ascii="UD デジタル 教科書体 NK-R" w:eastAsia="UD デジタル 教科書体 NK-R" w:hAnsiTheme="majorEastAsia"/>
        </w:rPr>
      </w:pPr>
    </w:p>
    <w:p w:rsidR="00B373F8" w:rsidRDefault="00D51157">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６　数学科　年間学習計画</w:t>
      </w:r>
    </w:p>
    <w:tbl>
      <w:tblPr>
        <w:tblW w:w="10005" w:type="dxa"/>
        <w:tblInd w:w="109" w:type="dxa"/>
        <w:tblLayout w:type="fixed"/>
        <w:tblCellMar>
          <w:left w:w="0" w:type="dxa"/>
          <w:right w:w="0" w:type="dxa"/>
        </w:tblCellMar>
        <w:tblLook w:val="0000" w:firstRow="0" w:lastRow="0" w:firstColumn="0" w:lastColumn="0" w:noHBand="0" w:noVBand="0"/>
      </w:tblPr>
      <w:tblGrid>
        <w:gridCol w:w="588"/>
        <w:gridCol w:w="589"/>
        <w:gridCol w:w="2962"/>
        <w:gridCol w:w="3827"/>
        <w:gridCol w:w="2039"/>
      </w:tblGrid>
      <w:tr w:rsidR="00B373F8" w:rsidTr="00D51157">
        <w:trPr>
          <w:trHeight w:val="397"/>
        </w:trPr>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73F8" w:rsidRDefault="00B373F8">
            <w:pPr>
              <w:rPr>
                <w:rFonts w:ascii="UD デジタル 教科書体 NK-R" w:eastAsia="UD デジタル 教科書体 NK-R" w:hAnsiTheme="majorEastAsia"/>
                <w:szCs w:val="21"/>
              </w:rPr>
            </w:pPr>
          </w:p>
        </w:tc>
        <w:tc>
          <w:tcPr>
            <w:tcW w:w="5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月</w:t>
            </w:r>
          </w:p>
        </w:tc>
        <w:tc>
          <w:tcPr>
            <w:tcW w:w="2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単元名・学習内容</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学習の目標</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評価方法</w:t>
            </w:r>
          </w:p>
        </w:tc>
      </w:tr>
      <w:tr w:rsidR="00B373F8" w:rsidTr="00D51157">
        <w:trPr>
          <w:trHeight w:val="1389"/>
        </w:trPr>
        <w:tc>
          <w:tcPr>
            <w:tcW w:w="588" w:type="dxa"/>
            <w:vMerge w:val="restart"/>
            <w:tcBorders>
              <w:top w:val="single" w:sz="4" w:space="0" w:color="000000"/>
              <w:left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tc>
        <w:tc>
          <w:tcPr>
            <w:tcW w:w="589" w:type="dxa"/>
            <w:tcBorders>
              <w:top w:val="single" w:sz="4" w:space="0" w:color="000000"/>
              <w:left w:val="single" w:sz="4" w:space="0" w:color="000000"/>
              <w:right w:val="single" w:sz="4" w:space="0" w:color="000000"/>
            </w:tcBorders>
            <w:tcMar>
              <w:left w:w="49" w:type="dxa"/>
              <w:right w:w="49" w:type="dxa"/>
            </w:tcMar>
          </w:tcPr>
          <w:p w:rsidR="00B373F8" w:rsidRDefault="00D51157" w:rsidP="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４</w:t>
            </w: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D51157" w:rsidP="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５</w:t>
            </w:r>
          </w:p>
        </w:tc>
        <w:tc>
          <w:tcPr>
            <w:tcW w:w="2962" w:type="dxa"/>
            <w:tcBorders>
              <w:top w:val="single" w:sz="4" w:space="0" w:color="000000"/>
              <w:left w:val="single" w:sz="4" w:space="0" w:color="000000"/>
              <w:right w:val="single" w:sz="4" w:space="0" w:color="000000"/>
            </w:tcBorders>
            <w:tcMar>
              <w:left w:w="49" w:type="dxa"/>
              <w:right w:w="49" w:type="dxa"/>
            </w:tcMar>
          </w:tcPr>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１章　式の計算</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・式の展開と因数分解</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・式の計算の利用</w:t>
            </w:r>
          </w:p>
        </w:tc>
        <w:tc>
          <w:tcPr>
            <w:tcW w:w="3827" w:type="dxa"/>
            <w:tcBorders>
              <w:top w:val="single" w:sz="4" w:space="0" w:color="000000"/>
              <w:left w:val="single" w:sz="4" w:space="0" w:color="000000"/>
              <w:right w:val="single" w:sz="4" w:space="0" w:color="000000"/>
            </w:tcBorders>
            <w:tcMar>
              <w:left w:w="49" w:type="dxa"/>
              <w:right w:w="49" w:type="dxa"/>
            </w:tcMar>
          </w:tcPr>
          <w:p w:rsidR="00B373F8" w:rsidRDefault="00D51157" w:rsidP="00D51157">
            <w:pPr>
              <w:snapToGrid w:val="0"/>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・式の展開や因数分解ができるようにするとともに、目的に応じて式を変形し、その意味を読み取る能力を伸ばす。</w:t>
            </w:r>
          </w:p>
        </w:tc>
        <w:tc>
          <w:tcPr>
            <w:tcW w:w="2039" w:type="dxa"/>
            <w:tcBorders>
              <w:top w:val="single" w:sz="4" w:space="0" w:color="000000"/>
              <w:left w:val="single" w:sz="4" w:space="0" w:color="000000"/>
              <w:bottom w:val="single" w:sz="4" w:space="0" w:color="FFFFFF" w:themeColor="background1"/>
              <w:right w:val="single" w:sz="4" w:space="0" w:color="000000"/>
            </w:tcBorders>
            <w:tcMar>
              <w:left w:w="49" w:type="dxa"/>
              <w:right w:w="49" w:type="dxa"/>
            </w:tcMar>
          </w:tcPr>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・授業での取り組</w:t>
            </w:r>
            <w:r>
              <w:rPr>
                <w:rFonts w:ascii="UD デジタル 教科書体 NK-R" w:eastAsia="UD デジタル 教科書体 NK-R" w:hAnsiTheme="majorEastAsia" w:hint="eastAsia"/>
              </w:rPr>
              <w:t>み</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rPr>
              <w:t xml:space="preserve">　　　　　　　　　　　　　等</w:t>
            </w:r>
          </w:p>
        </w:tc>
      </w:tr>
      <w:tr w:rsidR="00B373F8" w:rsidTr="00D51157">
        <w:trPr>
          <w:trHeight w:val="2947"/>
        </w:trPr>
        <w:tc>
          <w:tcPr>
            <w:tcW w:w="588" w:type="dxa"/>
            <w:vMerge/>
            <w:tcBorders>
              <w:top w:val="single" w:sz="4" w:space="0" w:color="000000"/>
              <w:left w:val="single" w:sz="4" w:space="0" w:color="000000"/>
              <w:right w:val="single" w:sz="4" w:space="0" w:color="000000"/>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p>
        </w:tc>
        <w:tc>
          <w:tcPr>
            <w:tcW w:w="589" w:type="dxa"/>
            <w:tcBorders>
              <w:left w:val="single" w:sz="4" w:space="0" w:color="000000"/>
              <w:right w:val="single" w:sz="4" w:space="0" w:color="000000"/>
            </w:tcBorders>
            <w:tcMar>
              <w:left w:w="49" w:type="dxa"/>
              <w:right w:w="49" w:type="dxa"/>
            </w:tcMar>
          </w:tcPr>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D51157" w:rsidP="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６</w:t>
            </w: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D51157" w:rsidP="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７</w:t>
            </w:r>
          </w:p>
        </w:tc>
        <w:tc>
          <w:tcPr>
            <w:tcW w:w="2962" w:type="dxa"/>
            <w:tcBorders>
              <w:left w:val="single" w:sz="4" w:space="0" w:color="000000"/>
              <w:right w:val="single" w:sz="4" w:space="0" w:color="000000"/>
            </w:tcBorders>
            <w:tcMar>
              <w:left w:w="49" w:type="dxa"/>
              <w:right w:w="49" w:type="dxa"/>
            </w:tcMar>
          </w:tcPr>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２章　平方根</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・平方根</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・根号をふくむ式の計算</w:t>
            </w:r>
          </w:p>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・平方根の利用</w:t>
            </w:r>
          </w:p>
          <w:p w:rsidR="00B373F8" w:rsidRDefault="00B373F8">
            <w:pPr>
              <w:rPr>
                <w:rFonts w:ascii="UD デジタル 教科書体 NK-R" w:eastAsia="UD デジタル 教科書体 NK-R" w:hAnsiTheme="majorEastAsia"/>
                <w:szCs w:val="21"/>
              </w:rPr>
            </w:pPr>
          </w:p>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３章　二次方程式</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・二次方程式</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・二次方程式の利用</w:t>
            </w:r>
          </w:p>
        </w:tc>
        <w:tc>
          <w:tcPr>
            <w:tcW w:w="3827" w:type="dxa"/>
            <w:tcBorders>
              <w:left w:val="single" w:sz="4" w:space="0" w:color="000000"/>
              <w:right w:val="single" w:sz="4" w:space="0" w:color="000000"/>
            </w:tcBorders>
            <w:tcMar>
              <w:left w:w="49" w:type="dxa"/>
              <w:right w:w="49" w:type="dxa"/>
            </w:tcMar>
          </w:tcPr>
          <w:p w:rsidR="00B373F8" w:rsidRDefault="00D51157" w:rsidP="00D51157">
            <w:pPr>
              <w:snapToGrid w:val="0"/>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・数の平方根について理解し、数の概念の理解を一層深めるとともに、数を用いて物事を広く、深く考察・処理することができるようにする。</w:t>
            </w:r>
          </w:p>
          <w:p w:rsidR="00B373F8" w:rsidRDefault="00B373F8">
            <w:pPr>
              <w:snapToGrid w:val="0"/>
              <w:ind w:left="210" w:rightChars="72" w:right="151" w:hangingChars="100" w:hanging="210"/>
              <w:rPr>
                <w:rFonts w:ascii="UD デジタル 教科書体 NK-R" w:eastAsia="UD デジタル 教科書体 NK-R" w:hAnsiTheme="majorEastAsia"/>
                <w:szCs w:val="21"/>
              </w:rPr>
            </w:pPr>
          </w:p>
          <w:p w:rsidR="00B373F8" w:rsidRDefault="00D51157" w:rsidP="00D51157">
            <w:pPr>
              <w:snapToGrid w:val="0"/>
              <w:ind w:leftChars="12" w:left="92" w:rightChars="72" w:right="151" w:hangingChars="32" w:hanging="67"/>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・二次方程式やその解法について理解し、二次方程式を解いたり、それを用いて実際の問題を解決したり、考察できるようにする。</w:t>
            </w:r>
          </w:p>
        </w:tc>
        <w:tc>
          <w:tcPr>
            <w:tcW w:w="2039" w:type="dxa"/>
            <w:tcBorders>
              <w:top w:val="single" w:sz="4" w:space="0" w:color="FFFFFF" w:themeColor="background1"/>
              <w:left w:val="single" w:sz="4" w:space="0" w:color="000000"/>
              <w:right w:val="single" w:sz="4" w:space="0" w:color="000000"/>
            </w:tcBorders>
            <w:tcMar>
              <w:left w:w="49" w:type="dxa"/>
              <w:right w:w="49" w:type="dxa"/>
            </w:tcMar>
          </w:tcPr>
          <w:p w:rsidR="00B373F8" w:rsidRDefault="00B373F8">
            <w:pPr>
              <w:rPr>
                <w:rFonts w:ascii="UD デジタル 教科書体 NK-R" w:eastAsia="UD デジタル 教科書体 NK-R" w:hAnsiTheme="majorEastAsia"/>
                <w:szCs w:val="21"/>
              </w:rPr>
            </w:pPr>
          </w:p>
        </w:tc>
      </w:tr>
      <w:tr w:rsidR="00B373F8" w:rsidTr="00D51157">
        <w:trPr>
          <w:trHeight w:val="2575"/>
        </w:trPr>
        <w:tc>
          <w:tcPr>
            <w:tcW w:w="588" w:type="dxa"/>
            <w:vMerge w:val="restart"/>
            <w:tcBorders>
              <w:top w:val="dashed" w:sz="4" w:space="0" w:color="auto"/>
              <w:left w:val="single" w:sz="4" w:space="0" w:color="000000"/>
              <w:right w:val="single" w:sz="4" w:space="0" w:color="000000"/>
            </w:tcBorders>
            <w:tcMar>
              <w:left w:w="49" w:type="dxa"/>
              <w:right w:w="49" w:type="dxa"/>
            </w:tcMar>
            <w:vAlign w:val="center"/>
          </w:tcPr>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tc>
        <w:tc>
          <w:tcPr>
            <w:tcW w:w="589" w:type="dxa"/>
            <w:tcBorders>
              <w:top w:val="dashed" w:sz="4" w:space="0" w:color="auto"/>
              <w:left w:val="single" w:sz="4" w:space="0" w:color="000000"/>
              <w:right w:val="single" w:sz="4" w:space="0" w:color="000000"/>
            </w:tcBorders>
            <w:tcMar>
              <w:left w:w="49" w:type="dxa"/>
              <w:right w:w="49" w:type="dxa"/>
            </w:tcMar>
          </w:tcPr>
          <w:p w:rsidR="00B373F8" w:rsidRDefault="00D51157" w:rsidP="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 xml:space="preserve">　</w:t>
            </w:r>
            <w:r>
              <w:rPr>
                <w:rFonts w:ascii="UD デジタル 教科書体 NK-R" w:eastAsia="UD デジタル 教科書体 NK-R" w:hAnsiTheme="majorEastAsia" w:hint="eastAsia"/>
                <w:szCs w:val="21"/>
              </w:rPr>
              <w:t>９</w:t>
            </w: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tc>
        <w:tc>
          <w:tcPr>
            <w:tcW w:w="2962" w:type="dxa"/>
            <w:tcBorders>
              <w:top w:val="dashed" w:sz="4" w:space="0" w:color="auto"/>
              <w:left w:val="single" w:sz="4" w:space="0" w:color="000000"/>
              <w:right w:val="single" w:sz="4" w:space="0" w:color="000000"/>
            </w:tcBorders>
            <w:tcMar>
              <w:left w:w="49" w:type="dxa"/>
              <w:right w:w="49" w:type="dxa"/>
            </w:tcMar>
          </w:tcPr>
          <w:p w:rsidR="00B373F8" w:rsidRDefault="00D51157">
            <w:pPr>
              <w:snapToGrid w:val="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４章　関数</w:t>
            </w:r>
            <w:r>
              <w:rPr>
                <w:rFonts w:ascii="UD デジタル 教科書体 NK-R" w:eastAsia="UD デジタル 教科書体 NK-R" w:hAnsiTheme="majorEastAsia" w:hint="eastAsia"/>
                <w:position w:val="-10"/>
                <w:szCs w:val="21"/>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8.65pt;height:19.3pt" o:ole="">
                  <v:imagedata r:id="rId7" o:title=""/>
                </v:shape>
                <o:OLEObject Type="Embed" ProgID="Equation.3" ShapeID="_x0000_i1135" DrawAspect="Content" ObjectID="_1806826344" r:id="rId8"/>
              </w:object>
            </w:r>
          </w:p>
          <w:p w:rsidR="00B373F8" w:rsidRDefault="00D51157">
            <w:pPr>
              <w:snapToGrid w:val="0"/>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・関数</w:t>
            </w:r>
            <w:r>
              <w:rPr>
                <w:rFonts w:ascii="UD デジタル 教科書体 NK-R" w:eastAsia="UD デジタル 教科書体 NK-R" w:hAnsiTheme="majorEastAsia" w:hint="eastAsia"/>
                <w:position w:val="-10"/>
                <w:szCs w:val="21"/>
              </w:rPr>
              <w:object w:dxaOrig="780" w:dyaOrig="360">
                <v:shape id="_x0000_i1136" type="#_x0000_t75" style="width:38.65pt;height:19.3pt" o:ole="">
                  <v:imagedata r:id="rId7" o:title=""/>
                </v:shape>
                <o:OLEObject Type="Embed" ProgID="Equation.3" ShapeID="_x0000_i1136" DrawAspect="Content" ObjectID="_1806826345" r:id="rId9"/>
              </w:object>
            </w:r>
            <w:r>
              <w:rPr>
                <w:rFonts w:ascii="UD デジタル 教科書体 NK-R" w:eastAsia="UD デジタル 教科書体 NK-R" w:hAnsiTheme="majorEastAsia" w:hint="eastAsia"/>
                <w:szCs w:val="21"/>
              </w:rPr>
              <w:t>とグラフ</w:t>
            </w:r>
          </w:p>
          <w:p w:rsidR="00B373F8" w:rsidRDefault="00D51157">
            <w:pPr>
              <w:snapToGrid w:val="0"/>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・関数</w:t>
            </w:r>
            <w:r>
              <w:rPr>
                <w:rFonts w:ascii="UD デジタル 教科書体 NK-R" w:eastAsia="UD デジタル 教科書体 NK-R" w:hAnsiTheme="majorEastAsia" w:hint="eastAsia"/>
                <w:position w:val="-10"/>
                <w:szCs w:val="21"/>
              </w:rPr>
              <w:object w:dxaOrig="780" w:dyaOrig="360">
                <v:shape id="_x0000_i1137" type="#_x0000_t75" style="width:38.65pt;height:19.3pt" o:ole="">
                  <v:imagedata r:id="rId10" o:title=""/>
                </v:shape>
                <o:OLEObject Type="Embed" ProgID="Equation.3" ShapeID="_x0000_i1137" DrawAspect="Content" ObjectID="_1806826346" r:id="rId11"/>
              </w:object>
            </w:r>
            <w:r>
              <w:rPr>
                <w:rFonts w:ascii="UD デジタル 教科書体 NK-R" w:eastAsia="UD デジタル 教科書体 NK-R" w:hAnsiTheme="majorEastAsia" w:hint="eastAsia"/>
                <w:szCs w:val="21"/>
              </w:rPr>
              <w:t>の値の変化</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・いろいろな事象と関数</w:t>
            </w:r>
          </w:p>
        </w:tc>
        <w:tc>
          <w:tcPr>
            <w:tcW w:w="3827" w:type="dxa"/>
            <w:tcBorders>
              <w:top w:val="dashed" w:sz="4" w:space="0" w:color="auto"/>
              <w:left w:val="single" w:sz="4" w:space="0" w:color="000000"/>
              <w:right w:val="single" w:sz="4" w:space="0" w:color="000000"/>
            </w:tcBorders>
            <w:tcMar>
              <w:left w:w="49" w:type="dxa"/>
              <w:right w:w="49" w:type="dxa"/>
            </w:tcMar>
          </w:tcPr>
          <w:p w:rsidR="00D51157" w:rsidRDefault="00D51157" w:rsidP="00D51157">
            <w:pPr>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・具体的事象から２つの数量を取り出し、表・グラフ・式を使ってそれらの変化や様子を調べることで関数</w:t>
            </w:r>
          </w:p>
          <w:p w:rsidR="00B373F8" w:rsidRDefault="00D51157" w:rsidP="00D51157">
            <w:pPr>
              <w:ind w:left="92"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position w:val="-10"/>
                <w:szCs w:val="21"/>
              </w:rPr>
              <w:object w:dxaOrig="780" w:dyaOrig="360">
                <v:shape id="_x0000_i1138" type="#_x0000_t75" style="width:36.9pt;height:18.45pt" o:ole="">
                  <v:imagedata r:id="rId10" o:title=""/>
                </v:shape>
                <o:OLEObject Type="Embed" ProgID="Equation.3" ShapeID="_x0000_i1138" DrawAspect="Content" ObjectID="_1806826347" r:id="rId12"/>
              </w:object>
            </w:r>
            <w:r>
              <w:rPr>
                <w:rFonts w:ascii="UD デジタル 教科書体 NK-R" w:eastAsia="UD デジタル 教科書体 NK-R" w:hAnsiTheme="majorEastAsia" w:hint="eastAsia"/>
                <w:szCs w:val="21"/>
              </w:rPr>
              <w:t>について理解する。また、具体的事象から関数関係をみいだし、表現・考察ができるようにする。</w:t>
            </w:r>
          </w:p>
        </w:tc>
        <w:tc>
          <w:tcPr>
            <w:tcW w:w="2039" w:type="dxa"/>
            <w:vMerge w:val="restart"/>
            <w:tcBorders>
              <w:top w:val="dashed" w:sz="4" w:space="0" w:color="auto"/>
              <w:left w:val="single" w:sz="4" w:space="0" w:color="000000"/>
              <w:right w:val="single" w:sz="4" w:space="0" w:color="000000"/>
            </w:tcBorders>
            <w:tcMar>
              <w:left w:w="49" w:type="dxa"/>
              <w:right w:w="49" w:type="dxa"/>
            </w:tcMar>
          </w:tcPr>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・授業での取り組</w:t>
            </w:r>
            <w:r>
              <w:rPr>
                <w:rFonts w:ascii="UD デジタル 教科書体 NK-R" w:eastAsia="UD デジタル 教科書体 NK-R" w:hAnsiTheme="majorEastAsia" w:hint="eastAsia"/>
              </w:rPr>
              <w:t>み</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rPr>
              <w:t xml:space="preserve">　　　　　　　　　　　　　等</w:t>
            </w:r>
          </w:p>
        </w:tc>
      </w:tr>
      <w:tr w:rsidR="00B373F8" w:rsidTr="00D51157">
        <w:trPr>
          <w:trHeight w:val="1827"/>
        </w:trPr>
        <w:tc>
          <w:tcPr>
            <w:tcW w:w="588" w:type="dxa"/>
            <w:vMerge/>
            <w:tcBorders>
              <w:left w:val="single" w:sz="4" w:space="0" w:color="000000"/>
              <w:right w:val="single" w:sz="4" w:space="0" w:color="000000"/>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p>
        </w:tc>
        <w:tc>
          <w:tcPr>
            <w:tcW w:w="589" w:type="dxa"/>
            <w:tcBorders>
              <w:left w:val="single" w:sz="4" w:space="0" w:color="000000"/>
              <w:right w:val="single" w:sz="4" w:space="0" w:color="000000"/>
            </w:tcBorders>
            <w:tcMar>
              <w:left w:w="49" w:type="dxa"/>
              <w:right w:w="49" w:type="dxa"/>
            </w:tcMar>
          </w:tcPr>
          <w:p w:rsidR="00B373F8" w:rsidRDefault="00B373F8">
            <w:pPr>
              <w:jc w:val="center"/>
              <w:rPr>
                <w:rFonts w:ascii="UD デジタル 教科書体 NK-R" w:eastAsia="UD デジタル 教科書体 NK-R" w:hAnsiTheme="majorEastAsia"/>
                <w:szCs w:val="21"/>
              </w:rPr>
            </w:pPr>
          </w:p>
          <w:p w:rsidR="00B373F8" w:rsidRDefault="00D51157" w:rsidP="00D51157">
            <w:pPr>
              <w:ind w:firstLineChars="50" w:firstLine="105"/>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１０</w:t>
            </w:r>
          </w:p>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D51157" w:rsidP="00D51157">
            <w:pPr>
              <w:ind w:firstLineChars="50" w:firstLine="105"/>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１１</w:t>
            </w:r>
          </w:p>
        </w:tc>
        <w:tc>
          <w:tcPr>
            <w:tcW w:w="2962" w:type="dxa"/>
            <w:tcBorders>
              <w:left w:val="single" w:sz="4" w:space="0" w:color="000000"/>
              <w:right w:val="single" w:sz="4" w:space="0" w:color="000000"/>
            </w:tcBorders>
            <w:tcMar>
              <w:left w:w="49" w:type="dxa"/>
              <w:right w:w="49" w:type="dxa"/>
            </w:tcMar>
          </w:tcPr>
          <w:p w:rsidR="00B373F8" w:rsidRDefault="00D51157">
            <w:pPr>
              <w:ind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５章　相似</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・相似な図形</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・平行線と線分の比</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・相似な図形の計量</w:t>
            </w:r>
          </w:p>
          <w:p w:rsidR="00B373F8" w:rsidRDefault="00D51157">
            <w:pPr>
              <w:ind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・相似の利用</w:t>
            </w:r>
          </w:p>
        </w:tc>
        <w:tc>
          <w:tcPr>
            <w:tcW w:w="3827" w:type="dxa"/>
            <w:tcBorders>
              <w:left w:val="single" w:sz="4" w:space="0" w:color="000000"/>
              <w:right w:val="single" w:sz="4" w:space="0" w:color="000000"/>
            </w:tcBorders>
            <w:tcMar>
              <w:left w:w="49" w:type="dxa"/>
              <w:right w:w="49" w:type="dxa"/>
            </w:tcMar>
          </w:tcPr>
          <w:p w:rsidR="00B373F8" w:rsidRDefault="00D51157" w:rsidP="00D51157">
            <w:pPr>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・図形の相似の概念を明らかにし、三角形の相似条件などを基にして図形の性質を確かめ、論理的に考察し、表現する力を伸ばすとともに、相似の考えが活用できるようにする。</w:t>
            </w:r>
          </w:p>
        </w:tc>
        <w:tc>
          <w:tcPr>
            <w:tcW w:w="2039" w:type="dxa"/>
            <w:vMerge/>
            <w:tcBorders>
              <w:left w:val="single" w:sz="4" w:space="0" w:color="000000"/>
              <w:right w:val="single" w:sz="4" w:space="0" w:color="000000"/>
            </w:tcBorders>
            <w:tcMar>
              <w:left w:w="49" w:type="dxa"/>
              <w:right w:w="49" w:type="dxa"/>
            </w:tcMar>
          </w:tcPr>
          <w:p w:rsidR="00B373F8" w:rsidRDefault="00B373F8">
            <w:pPr>
              <w:rPr>
                <w:rFonts w:ascii="UD デジタル 教科書体 NK-R" w:eastAsia="UD デジタル 教科書体 NK-R" w:hAnsiTheme="majorEastAsia"/>
                <w:szCs w:val="21"/>
              </w:rPr>
            </w:pPr>
          </w:p>
        </w:tc>
      </w:tr>
      <w:tr w:rsidR="00B373F8" w:rsidTr="00D51157">
        <w:trPr>
          <w:trHeight w:val="1594"/>
        </w:trPr>
        <w:tc>
          <w:tcPr>
            <w:tcW w:w="588" w:type="dxa"/>
            <w:vMerge/>
            <w:tcBorders>
              <w:left w:val="single" w:sz="4" w:space="0" w:color="000000"/>
              <w:right w:val="single" w:sz="4" w:space="0" w:color="000000"/>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p>
        </w:tc>
        <w:tc>
          <w:tcPr>
            <w:tcW w:w="589" w:type="dxa"/>
            <w:tcBorders>
              <w:left w:val="single" w:sz="4" w:space="0" w:color="000000"/>
              <w:right w:val="single" w:sz="4" w:space="0" w:color="000000"/>
            </w:tcBorders>
            <w:tcMar>
              <w:left w:w="49" w:type="dxa"/>
              <w:right w:w="49" w:type="dxa"/>
            </w:tcMar>
          </w:tcPr>
          <w:p w:rsidR="00B373F8" w:rsidRDefault="00B373F8">
            <w:pPr>
              <w:jc w:val="center"/>
              <w:rPr>
                <w:rFonts w:ascii="UD デジタル 教科書体 NK-R" w:eastAsia="UD デジタル 教科書体 NK-R" w:hAnsiTheme="majorEastAsia"/>
                <w:szCs w:val="21"/>
              </w:rPr>
            </w:pPr>
          </w:p>
          <w:p w:rsidR="00B373F8" w:rsidRDefault="00B373F8">
            <w:pPr>
              <w:jc w:val="center"/>
              <w:rPr>
                <w:rFonts w:ascii="UD デジタル 教科書体 NK-R" w:eastAsia="UD デジタル 教科書体 NK-R" w:hAnsiTheme="majorEastAsia"/>
                <w:szCs w:val="21"/>
              </w:rPr>
            </w:pPr>
          </w:p>
          <w:p w:rsidR="00B373F8" w:rsidRDefault="00D51157">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１２</w:t>
            </w:r>
          </w:p>
        </w:tc>
        <w:tc>
          <w:tcPr>
            <w:tcW w:w="2962" w:type="dxa"/>
            <w:tcBorders>
              <w:left w:val="single" w:sz="4" w:space="0" w:color="000000"/>
              <w:right w:val="single" w:sz="4" w:space="0" w:color="000000"/>
            </w:tcBorders>
            <w:tcMar>
              <w:left w:w="49" w:type="dxa"/>
              <w:right w:w="49" w:type="dxa"/>
            </w:tcMar>
          </w:tcPr>
          <w:p w:rsidR="00B373F8" w:rsidRDefault="00D51157">
            <w:pPr>
              <w:ind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６章　円</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・円周角と中心角</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・円の性質の利用</w:t>
            </w:r>
          </w:p>
        </w:tc>
        <w:tc>
          <w:tcPr>
            <w:tcW w:w="3827" w:type="dxa"/>
            <w:tcBorders>
              <w:left w:val="single" w:sz="4" w:space="0" w:color="000000"/>
              <w:right w:val="single" w:sz="4" w:space="0" w:color="000000"/>
            </w:tcBorders>
            <w:tcMar>
              <w:left w:w="49" w:type="dxa"/>
              <w:right w:w="49" w:type="dxa"/>
            </w:tcMar>
          </w:tcPr>
          <w:p w:rsidR="00B373F8" w:rsidRDefault="00D51157" w:rsidP="00D51157">
            <w:pPr>
              <w:snapToGrid w:val="0"/>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・観察、操作、実験などの活動を通して、円周角と中心角の関係を見いだして理解し、それを用いて論理的に考察し、表現できるようにする。</w:t>
            </w:r>
          </w:p>
        </w:tc>
        <w:tc>
          <w:tcPr>
            <w:tcW w:w="2039" w:type="dxa"/>
            <w:vMerge/>
            <w:tcBorders>
              <w:left w:val="single" w:sz="4" w:space="0" w:color="000000"/>
              <w:right w:val="single" w:sz="4" w:space="0" w:color="000000"/>
            </w:tcBorders>
            <w:tcMar>
              <w:left w:w="49" w:type="dxa"/>
              <w:right w:w="49" w:type="dxa"/>
            </w:tcMar>
          </w:tcPr>
          <w:p w:rsidR="00B373F8" w:rsidRDefault="00B373F8">
            <w:pPr>
              <w:rPr>
                <w:rFonts w:ascii="UD デジタル 教科書体 NK-R" w:eastAsia="UD デジタル 教科書体 NK-R" w:hAnsiTheme="majorEastAsia"/>
                <w:szCs w:val="21"/>
              </w:rPr>
            </w:pPr>
          </w:p>
        </w:tc>
      </w:tr>
      <w:tr w:rsidR="00B373F8" w:rsidTr="00D51157">
        <w:trPr>
          <w:trHeight w:val="1417"/>
        </w:trPr>
        <w:tc>
          <w:tcPr>
            <w:tcW w:w="588" w:type="dxa"/>
            <w:vMerge w:val="restart"/>
            <w:tcBorders>
              <w:top w:val="dashed" w:sz="4" w:space="0" w:color="auto"/>
              <w:left w:val="single" w:sz="4" w:space="0" w:color="000000"/>
              <w:right w:val="single" w:sz="4" w:space="0" w:color="auto"/>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bookmarkStart w:id="0" w:name="_GoBack"/>
            <w:bookmarkEnd w:id="0"/>
          </w:p>
          <w:p w:rsidR="00B373F8" w:rsidRDefault="00B373F8">
            <w:pPr>
              <w:jc w:val="center"/>
              <w:rPr>
                <w:rFonts w:ascii="UD デジタル 教科書体 NK-R" w:eastAsia="UD デジタル 教科書体 NK-R" w:hAnsiTheme="majorEastAsia"/>
                <w:szCs w:val="21"/>
              </w:rPr>
            </w:pPr>
          </w:p>
        </w:tc>
        <w:tc>
          <w:tcPr>
            <w:tcW w:w="589" w:type="dxa"/>
            <w:tcBorders>
              <w:top w:val="dashed" w:sz="4" w:space="0" w:color="auto"/>
              <w:left w:val="single" w:sz="4" w:space="0" w:color="auto"/>
              <w:right w:val="single" w:sz="4" w:space="0" w:color="000000"/>
            </w:tcBorders>
            <w:tcMar>
              <w:left w:w="49" w:type="dxa"/>
              <w:right w:w="49" w:type="dxa"/>
            </w:tcMar>
          </w:tcPr>
          <w:p w:rsidR="00B373F8" w:rsidRDefault="00D51157" w:rsidP="00D51157">
            <w:pPr>
              <w:ind w:firstLineChars="50" w:firstLine="105"/>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w:t>
            </w:r>
          </w:p>
        </w:tc>
        <w:tc>
          <w:tcPr>
            <w:tcW w:w="2962" w:type="dxa"/>
            <w:tcBorders>
              <w:top w:val="dashed" w:sz="4" w:space="0" w:color="auto"/>
              <w:left w:val="single" w:sz="4" w:space="0" w:color="000000"/>
              <w:right w:val="single" w:sz="4" w:space="0" w:color="000000"/>
            </w:tcBorders>
            <w:tcMar>
              <w:left w:w="49" w:type="dxa"/>
              <w:right w:w="49" w:type="dxa"/>
            </w:tcMar>
          </w:tcPr>
          <w:p w:rsidR="00B373F8" w:rsidRDefault="00D51157">
            <w:pPr>
              <w:ind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７章　三平方の定理</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・三平方の定理</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・三平方の定理の逆</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・三平方の定理の利用</w:t>
            </w:r>
          </w:p>
        </w:tc>
        <w:tc>
          <w:tcPr>
            <w:tcW w:w="3827" w:type="dxa"/>
            <w:tcBorders>
              <w:top w:val="dashed" w:sz="4" w:space="0" w:color="auto"/>
              <w:left w:val="single" w:sz="4" w:space="0" w:color="000000"/>
              <w:right w:val="single" w:sz="4" w:space="0" w:color="000000"/>
            </w:tcBorders>
            <w:tcMar>
              <w:left w:w="49" w:type="dxa"/>
              <w:right w:w="49" w:type="dxa"/>
            </w:tcMar>
          </w:tcPr>
          <w:p w:rsidR="00B373F8" w:rsidRDefault="00D51157" w:rsidP="00D51157">
            <w:pPr>
              <w:snapToGrid w:val="0"/>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・観察、操作、実験などの活動を通して、三平方の定理を見いだして理解し、それを用いて考察したり、活用したりできるようにする。</w:t>
            </w:r>
          </w:p>
        </w:tc>
        <w:tc>
          <w:tcPr>
            <w:tcW w:w="2039" w:type="dxa"/>
            <w:vMerge w:val="restart"/>
            <w:tcBorders>
              <w:top w:val="dashed" w:sz="4" w:space="0" w:color="auto"/>
              <w:left w:val="single" w:sz="4" w:space="0" w:color="000000"/>
              <w:bottom w:val="single" w:sz="4" w:space="0" w:color="auto"/>
              <w:right w:val="single" w:sz="4" w:space="0" w:color="000000"/>
            </w:tcBorders>
            <w:tcMar>
              <w:left w:w="49" w:type="dxa"/>
              <w:right w:w="49" w:type="dxa"/>
            </w:tcMar>
          </w:tcPr>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・授業での取り組</w:t>
            </w:r>
            <w:r>
              <w:rPr>
                <w:rFonts w:ascii="UD デジタル 教科書体 NK-R" w:eastAsia="UD デジタル 教科書体 NK-R" w:hAnsiTheme="majorEastAsia" w:hint="eastAsia"/>
              </w:rPr>
              <w:t>み</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rsidR="00B373F8" w:rsidRDefault="00D51157">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rsidR="00B373F8" w:rsidRDefault="00D51157">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rPr>
              <w:t xml:space="preserve">　　　　　　　　　　　　　等</w:t>
            </w:r>
          </w:p>
        </w:tc>
      </w:tr>
      <w:tr w:rsidR="00B373F8" w:rsidTr="00D51157">
        <w:trPr>
          <w:trHeight w:val="1507"/>
        </w:trPr>
        <w:tc>
          <w:tcPr>
            <w:tcW w:w="588" w:type="dxa"/>
            <w:vMerge/>
            <w:tcBorders>
              <w:left w:val="single" w:sz="4" w:space="0" w:color="000000"/>
              <w:right w:val="single" w:sz="4" w:space="0" w:color="auto"/>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p>
        </w:tc>
        <w:tc>
          <w:tcPr>
            <w:tcW w:w="589" w:type="dxa"/>
            <w:tcBorders>
              <w:left w:val="single" w:sz="4" w:space="0" w:color="auto"/>
              <w:right w:val="single" w:sz="4" w:space="0" w:color="000000"/>
            </w:tcBorders>
            <w:tcMar>
              <w:left w:w="49" w:type="dxa"/>
              <w:right w:w="49" w:type="dxa"/>
            </w:tcMar>
          </w:tcPr>
          <w:p w:rsidR="00B373F8" w:rsidRDefault="00D51157" w:rsidP="00D51157">
            <w:pPr>
              <w:ind w:firstLineChars="50" w:firstLine="105"/>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２</w:t>
            </w:r>
          </w:p>
          <w:p w:rsidR="00B373F8" w:rsidRDefault="00B373F8">
            <w:pPr>
              <w:jc w:val="center"/>
              <w:rPr>
                <w:rFonts w:ascii="UD デジタル 教科書体 NK-R" w:eastAsia="UD デジタル 教科書体 NK-R" w:hAnsiTheme="majorEastAsia"/>
                <w:szCs w:val="21"/>
              </w:rPr>
            </w:pPr>
          </w:p>
        </w:tc>
        <w:tc>
          <w:tcPr>
            <w:tcW w:w="2962" w:type="dxa"/>
            <w:tcBorders>
              <w:left w:val="single" w:sz="4" w:space="0" w:color="000000"/>
              <w:right w:val="single" w:sz="4" w:space="0" w:color="000000"/>
            </w:tcBorders>
            <w:tcMar>
              <w:left w:w="49" w:type="dxa"/>
              <w:right w:w="49" w:type="dxa"/>
            </w:tcMar>
          </w:tcPr>
          <w:p w:rsidR="00B373F8" w:rsidRDefault="00D51157">
            <w:pPr>
              <w:ind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８章　標本調査</w:t>
            </w:r>
          </w:p>
          <w:p w:rsidR="00B373F8" w:rsidRDefault="00D51157">
            <w:pPr>
              <w:ind w:rightChars="72" w:right="151" w:firstLineChars="100" w:firstLine="21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・標本調査</w:t>
            </w:r>
          </w:p>
        </w:tc>
        <w:tc>
          <w:tcPr>
            <w:tcW w:w="3827" w:type="dxa"/>
            <w:tcBorders>
              <w:left w:val="single" w:sz="4" w:space="0" w:color="000000"/>
              <w:right w:val="single" w:sz="4" w:space="0" w:color="000000"/>
            </w:tcBorders>
            <w:tcMar>
              <w:left w:w="49" w:type="dxa"/>
              <w:right w:w="49" w:type="dxa"/>
            </w:tcMar>
          </w:tcPr>
          <w:p w:rsidR="00B373F8" w:rsidRDefault="00D51157" w:rsidP="00D51157">
            <w:pPr>
              <w:snapToGrid w:val="0"/>
              <w:ind w:left="92" w:rightChars="72" w:right="151" w:hangingChars="44" w:hanging="92"/>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・コンピュータを用いたりするなどして、母集団から標本を取り出し、その傾向を調べることで、母集団の傾向が読み取れることを理解するとともに、その考えを活用できるようにする。</w:t>
            </w:r>
          </w:p>
        </w:tc>
        <w:tc>
          <w:tcPr>
            <w:tcW w:w="2039" w:type="dxa"/>
            <w:vMerge/>
            <w:tcBorders>
              <w:left w:val="single" w:sz="4" w:space="0" w:color="000000"/>
              <w:bottom w:val="single" w:sz="4" w:space="0" w:color="auto"/>
              <w:right w:val="single" w:sz="4" w:space="0" w:color="000000"/>
            </w:tcBorders>
            <w:tcMar>
              <w:left w:w="49" w:type="dxa"/>
              <w:right w:w="49" w:type="dxa"/>
            </w:tcMar>
          </w:tcPr>
          <w:p w:rsidR="00B373F8" w:rsidRDefault="00B373F8">
            <w:pPr>
              <w:rPr>
                <w:rFonts w:ascii="UD デジタル 教科書体 NK-R" w:eastAsia="UD デジタル 教科書体 NK-R" w:hAnsiTheme="majorEastAsia"/>
                <w:szCs w:val="21"/>
              </w:rPr>
            </w:pPr>
          </w:p>
        </w:tc>
      </w:tr>
      <w:tr w:rsidR="00B373F8" w:rsidTr="00D51157">
        <w:trPr>
          <w:trHeight w:val="397"/>
        </w:trPr>
        <w:tc>
          <w:tcPr>
            <w:tcW w:w="588" w:type="dxa"/>
            <w:vMerge/>
            <w:tcBorders>
              <w:left w:val="single" w:sz="4" w:space="0" w:color="000000"/>
              <w:bottom w:val="single" w:sz="4" w:space="0" w:color="auto"/>
              <w:right w:val="single" w:sz="4" w:space="0" w:color="auto"/>
            </w:tcBorders>
            <w:tcMar>
              <w:left w:w="49" w:type="dxa"/>
              <w:right w:w="49" w:type="dxa"/>
            </w:tcMar>
            <w:vAlign w:val="center"/>
          </w:tcPr>
          <w:p w:rsidR="00B373F8" w:rsidRDefault="00B373F8">
            <w:pPr>
              <w:jc w:val="center"/>
              <w:rPr>
                <w:rFonts w:ascii="UD デジタル 教科書体 NK-R" w:eastAsia="UD デジタル 教科書体 NK-R" w:hAnsiTheme="majorEastAsia"/>
                <w:szCs w:val="21"/>
              </w:rPr>
            </w:pPr>
          </w:p>
        </w:tc>
        <w:tc>
          <w:tcPr>
            <w:tcW w:w="589" w:type="dxa"/>
            <w:tcBorders>
              <w:left w:val="single" w:sz="4" w:space="0" w:color="auto"/>
              <w:bottom w:val="single" w:sz="4" w:space="0" w:color="auto"/>
              <w:right w:val="single" w:sz="4" w:space="0" w:color="000000"/>
            </w:tcBorders>
            <w:tcMar>
              <w:left w:w="49" w:type="dxa"/>
              <w:right w:w="49" w:type="dxa"/>
            </w:tcMar>
          </w:tcPr>
          <w:p w:rsidR="00B373F8" w:rsidRDefault="00D51157" w:rsidP="00D51157">
            <w:pPr>
              <w:ind w:firstLineChars="50" w:firstLine="105"/>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３</w:t>
            </w:r>
          </w:p>
        </w:tc>
        <w:tc>
          <w:tcPr>
            <w:tcW w:w="2962" w:type="dxa"/>
            <w:tcBorders>
              <w:left w:val="single" w:sz="4" w:space="0" w:color="000000"/>
              <w:bottom w:val="single" w:sz="4" w:space="0" w:color="auto"/>
              <w:right w:val="single" w:sz="4" w:space="0" w:color="000000"/>
            </w:tcBorders>
            <w:tcMar>
              <w:left w:w="49" w:type="dxa"/>
              <w:right w:w="49" w:type="dxa"/>
            </w:tcMar>
          </w:tcPr>
          <w:p w:rsidR="00B373F8" w:rsidRDefault="00D51157">
            <w:pPr>
              <w:ind w:rightChars="72" w:right="151"/>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総まとめ</w:t>
            </w:r>
          </w:p>
        </w:tc>
        <w:tc>
          <w:tcPr>
            <w:tcW w:w="3827" w:type="dxa"/>
            <w:tcBorders>
              <w:left w:val="single" w:sz="4" w:space="0" w:color="000000"/>
              <w:bottom w:val="single" w:sz="4" w:space="0" w:color="auto"/>
              <w:right w:val="single" w:sz="4" w:space="0" w:color="000000"/>
            </w:tcBorders>
            <w:tcMar>
              <w:left w:w="49" w:type="dxa"/>
              <w:right w:w="49" w:type="dxa"/>
            </w:tcMar>
          </w:tcPr>
          <w:p w:rsidR="00B373F8" w:rsidRDefault="00B373F8">
            <w:pPr>
              <w:snapToGrid w:val="0"/>
              <w:ind w:left="210" w:rightChars="72" w:right="151" w:hangingChars="100" w:hanging="210"/>
              <w:rPr>
                <w:rFonts w:ascii="UD デジタル 教科書体 NK-R" w:eastAsia="UD デジタル 教科書体 NK-R" w:hAnsiTheme="majorEastAsia"/>
                <w:szCs w:val="21"/>
              </w:rPr>
            </w:pPr>
          </w:p>
        </w:tc>
        <w:tc>
          <w:tcPr>
            <w:tcW w:w="2039" w:type="dxa"/>
            <w:vMerge/>
            <w:tcBorders>
              <w:left w:val="single" w:sz="4" w:space="0" w:color="000000"/>
              <w:bottom w:val="single" w:sz="4" w:space="0" w:color="auto"/>
              <w:right w:val="single" w:sz="4" w:space="0" w:color="000000"/>
            </w:tcBorders>
            <w:tcMar>
              <w:left w:w="49" w:type="dxa"/>
              <w:right w:w="49" w:type="dxa"/>
            </w:tcMar>
          </w:tcPr>
          <w:p w:rsidR="00B373F8" w:rsidRDefault="00B373F8">
            <w:pPr>
              <w:rPr>
                <w:rFonts w:ascii="UD デジタル 教科書体 NK-R" w:eastAsia="UD デジタル 教科書体 NK-R" w:hAnsiTheme="majorEastAsia"/>
                <w:szCs w:val="21"/>
              </w:rPr>
            </w:pPr>
          </w:p>
        </w:tc>
      </w:tr>
    </w:tbl>
    <w:p w:rsidR="00B373F8" w:rsidRDefault="00D51157">
      <w:pPr>
        <w:tabs>
          <w:tab w:val="left" w:pos="9226"/>
        </w:tabs>
        <w:rPr>
          <w:rFonts w:asciiTheme="majorEastAsia" w:eastAsiaTheme="majorEastAsia" w:hAnsiTheme="majorEastAsia"/>
        </w:rPr>
      </w:pPr>
      <w:r>
        <w:rPr>
          <w:rFonts w:asciiTheme="majorEastAsia" w:eastAsiaTheme="majorEastAsia" w:hAnsiTheme="majorEastAsia"/>
        </w:rPr>
        <w:tab/>
      </w:r>
    </w:p>
    <w:sectPr w:rsidR="00B373F8">
      <w:pgSz w:w="11906" w:h="16838" w:code="9"/>
      <w:pgMar w:top="680" w:right="907" w:bottom="397" w:left="90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F8" w:rsidRDefault="00D51157">
      <w:r>
        <w:separator/>
      </w:r>
    </w:p>
  </w:endnote>
  <w:endnote w:type="continuationSeparator" w:id="0">
    <w:p w:rsidR="00B373F8" w:rsidRDefault="00D5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F8" w:rsidRDefault="00D51157">
      <w:r>
        <w:separator/>
      </w:r>
    </w:p>
  </w:footnote>
  <w:footnote w:type="continuationSeparator" w:id="0">
    <w:p w:rsidR="00B373F8" w:rsidRDefault="00D5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F8"/>
    <w:rsid w:val="00B373F8"/>
    <w:rsid w:val="00D5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1CFE053"/>
  <w15:docId w15:val="{061A3EB3-7725-43D3-8A96-DAD8C08C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E47DD-1C22-43FB-99FA-64A6D807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8</cp:revision>
  <cp:lastPrinted>2025-04-21T05:22:00Z</cp:lastPrinted>
  <dcterms:created xsi:type="dcterms:W3CDTF">2024-04-30T03:34:00Z</dcterms:created>
  <dcterms:modified xsi:type="dcterms:W3CDTF">2025-04-22T02:26:00Z</dcterms:modified>
</cp:coreProperties>
</file>